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8AE85" w14:textId="16AAE41B" w:rsidR="4C4B5F0D" w:rsidRDefault="2A2C74DB" w:rsidP="5D6D0DFF">
      <w:pPr>
        <w:rPr>
          <w:rFonts w:eastAsiaTheme="minorEastAsia"/>
          <w:color w:val="000000" w:themeColor="text1"/>
          <w:sz w:val="28"/>
          <w:szCs w:val="28"/>
        </w:rPr>
      </w:pPr>
      <w:r w:rsidRPr="5D6D0DFF">
        <w:rPr>
          <w:rFonts w:eastAsiaTheme="minorEastAsia"/>
          <w:color w:val="000000" w:themeColor="text1"/>
          <w:sz w:val="28"/>
          <w:szCs w:val="28"/>
        </w:rPr>
        <w:t xml:space="preserve">Algorithm uncertainties information for the Uncertainties Working Group </w:t>
      </w:r>
    </w:p>
    <w:p w14:paraId="159F40D6" w14:textId="34D8268F" w:rsidR="4C4B5F0D" w:rsidRDefault="142AFE42" w:rsidP="5D6D0DFF">
      <w:pPr>
        <w:rPr>
          <w:rFonts w:eastAsiaTheme="minorEastAsia"/>
          <w:color w:val="000000" w:themeColor="text1"/>
          <w:sz w:val="24"/>
          <w:szCs w:val="24"/>
        </w:rPr>
      </w:pPr>
      <w:r w:rsidRPr="5D6D0DFF">
        <w:rPr>
          <w:rFonts w:eastAsiaTheme="minorEastAsia"/>
          <w:color w:val="000000" w:themeColor="text1"/>
          <w:sz w:val="24"/>
          <w:szCs w:val="24"/>
        </w:rPr>
        <w:t>Project title: Going beyond chlorophyll-a: Developing phytoplankton community composition algorithms from hyperspectral remote sensing reflectance</w:t>
      </w:r>
    </w:p>
    <w:p w14:paraId="57E26291" w14:textId="35B0D378" w:rsidR="5D6D0DFF" w:rsidRDefault="142AFE42" w:rsidP="5D6D0DFF">
      <w:pPr>
        <w:rPr>
          <w:rFonts w:eastAsiaTheme="minorEastAsia"/>
          <w:color w:val="000000" w:themeColor="text1"/>
          <w:sz w:val="24"/>
          <w:szCs w:val="24"/>
        </w:rPr>
      </w:pPr>
      <w:r w:rsidRPr="5D6D0DFF">
        <w:rPr>
          <w:rFonts w:eastAsiaTheme="minorEastAsia"/>
          <w:color w:val="000000" w:themeColor="text1"/>
          <w:sz w:val="24"/>
          <w:szCs w:val="24"/>
        </w:rPr>
        <w:t>Alison Chase</w:t>
      </w:r>
      <w:r w:rsidR="37A36F57" w:rsidRPr="5D6D0DFF">
        <w:rPr>
          <w:rFonts w:eastAsiaTheme="minorEastAsia"/>
          <w:color w:val="000000" w:themeColor="text1"/>
          <w:sz w:val="24"/>
          <w:szCs w:val="24"/>
        </w:rPr>
        <w:t xml:space="preserve"> and Peter </w:t>
      </w:r>
      <w:proofErr w:type="spellStart"/>
      <w:r w:rsidR="37A36F57" w:rsidRPr="5D6D0DFF">
        <w:rPr>
          <w:rFonts w:eastAsiaTheme="minorEastAsia"/>
          <w:color w:val="000000" w:themeColor="text1"/>
          <w:sz w:val="24"/>
          <w:szCs w:val="24"/>
        </w:rPr>
        <w:t>Gaube</w:t>
      </w:r>
      <w:proofErr w:type="spellEnd"/>
      <w:r>
        <w:br/>
      </w:r>
      <w:r w:rsidRPr="5D6D0DFF">
        <w:rPr>
          <w:rFonts w:eastAsiaTheme="minorEastAsia"/>
          <w:color w:val="000000" w:themeColor="text1"/>
          <w:sz w:val="24"/>
          <w:szCs w:val="24"/>
        </w:rPr>
        <w:t>Applied Physics Laboratory, University of Washington</w:t>
      </w:r>
      <w:r>
        <w:br/>
      </w:r>
      <w:r w:rsidRPr="5D6D0DFF">
        <w:rPr>
          <w:rFonts w:eastAsiaTheme="minorEastAsia"/>
          <w:color w:val="000000" w:themeColor="text1"/>
          <w:sz w:val="24"/>
          <w:szCs w:val="24"/>
        </w:rPr>
        <w:t>May 16, 2023</w:t>
      </w:r>
    </w:p>
    <w:p w14:paraId="435AAF81" w14:textId="6E7663B2" w:rsidR="4C4B5F0D" w:rsidRDefault="142AFE42" w:rsidP="5D6D0DFF">
      <w:pPr>
        <w:rPr>
          <w:rFonts w:eastAsiaTheme="minorEastAsia"/>
          <w:color w:val="222222"/>
          <w:sz w:val="28"/>
          <w:szCs w:val="28"/>
        </w:rPr>
      </w:pPr>
      <w:r w:rsidRPr="5D6D0DFF">
        <w:rPr>
          <w:rFonts w:eastAsiaTheme="minorEastAsia"/>
          <w:color w:val="222222"/>
          <w:sz w:val="28"/>
          <w:szCs w:val="28"/>
        </w:rPr>
        <w:t>Project overview</w:t>
      </w:r>
    </w:p>
    <w:p w14:paraId="4F440416" w14:textId="1D61C407" w:rsidR="710A8621" w:rsidRDefault="4C4B5F0D" w:rsidP="710A8621">
      <w:pPr>
        <w:spacing w:beforeAutospacing="1" w:afterAutospacing="1"/>
        <w:rPr>
          <w:rFonts w:eastAsiaTheme="minorEastAsia"/>
          <w:color w:val="000000" w:themeColor="text1"/>
          <w:sz w:val="24"/>
          <w:szCs w:val="24"/>
        </w:rPr>
      </w:pPr>
      <w:r w:rsidRPr="710A8621">
        <w:rPr>
          <w:rFonts w:eastAsiaTheme="minorEastAsia"/>
          <w:color w:val="000000" w:themeColor="text1"/>
          <w:sz w:val="24"/>
          <w:szCs w:val="24"/>
        </w:rPr>
        <w:t xml:space="preserve">Our project consists of </w:t>
      </w:r>
      <w:r w:rsidR="083A0EA2" w:rsidRPr="710A8621">
        <w:rPr>
          <w:rFonts w:eastAsiaTheme="minorEastAsia"/>
          <w:color w:val="000000" w:themeColor="text1"/>
          <w:sz w:val="24"/>
          <w:szCs w:val="24"/>
        </w:rPr>
        <w:t>1</w:t>
      </w:r>
      <w:r w:rsidRPr="710A8621">
        <w:rPr>
          <w:rFonts w:eastAsiaTheme="minorEastAsia"/>
          <w:color w:val="000000" w:themeColor="text1"/>
          <w:sz w:val="24"/>
          <w:szCs w:val="24"/>
        </w:rPr>
        <w:t xml:space="preserve">) adapting and implementing the Gaussian decomposition method to estimate chlorophylls a, b, c, and photoprotective carotenoids from hyperspectral remote-sensing reflectance observations, and </w:t>
      </w:r>
      <w:r w:rsidR="0CD65C80" w:rsidRPr="710A8621">
        <w:rPr>
          <w:rFonts w:eastAsiaTheme="minorEastAsia"/>
          <w:color w:val="000000" w:themeColor="text1"/>
          <w:sz w:val="24"/>
          <w:szCs w:val="24"/>
        </w:rPr>
        <w:t>2</w:t>
      </w:r>
      <w:r w:rsidRPr="710A8621">
        <w:rPr>
          <w:rFonts w:eastAsiaTheme="minorEastAsia"/>
          <w:color w:val="000000" w:themeColor="text1"/>
          <w:sz w:val="24"/>
          <w:szCs w:val="24"/>
        </w:rPr>
        <w:t>) using these estimates of phytoplankton pigments, in addition to other bio-optical and physical measurements, as inputs to an algorithm t</w:t>
      </w:r>
      <w:r w:rsidR="7F9A4464" w:rsidRPr="710A8621">
        <w:rPr>
          <w:rFonts w:eastAsiaTheme="minorEastAsia"/>
          <w:color w:val="000000" w:themeColor="text1"/>
          <w:sz w:val="24"/>
          <w:szCs w:val="24"/>
        </w:rPr>
        <w:t>hat</w:t>
      </w:r>
      <w:r w:rsidRPr="710A8621">
        <w:rPr>
          <w:rFonts w:eastAsiaTheme="minorEastAsia"/>
          <w:color w:val="000000" w:themeColor="text1"/>
          <w:sz w:val="24"/>
          <w:szCs w:val="24"/>
        </w:rPr>
        <w:t xml:space="preserve"> estimate</w:t>
      </w:r>
      <w:r w:rsidR="7F9A4464" w:rsidRPr="710A8621">
        <w:rPr>
          <w:rFonts w:eastAsiaTheme="minorEastAsia"/>
          <w:color w:val="000000" w:themeColor="text1"/>
          <w:sz w:val="24"/>
          <w:szCs w:val="24"/>
        </w:rPr>
        <w:t>s</w:t>
      </w:r>
      <w:r w:rsidRPr="710A8621">
        <w:rPr>
          <w:rFonts w:eastAsiaTheme="minorEastAsia"/>
          <w:color w:val="000000" w:themeColor="text1"/>
          <w:sz w:val="24"/>
          <w:szCs w:val="24"/>
        </w:rPr>
        <w:t xml:space="preserve"> diatom biomass (carbon) concentrations across a wide range of oceanic regions and conditions, and where plankton cell imagery data are used as algorithm target quantities.</w:t>
      </w:r>
      <w:r w:rsidR="3EA75E50" w:rsidRPr="710A8621">
        <w:rPr>
          <w:rFonts w:eastAsiaTheme="minorEastAsia"/>
          <w:color w:val="000000" w:themeColor="text1"/>
          <w:sz w:val="24"/>
          <w:szCs w:val="24"/>
        </w:rPr>
        <w:t xml:space="preserve"> The pigment algorithm </w:t>
      </w:r>
      <w:r w:rsidR="22A7BEA7" w:rsidRPr="710A8621">
        <w:rPr>
          <w:rFonts w:eastAsiaTheme="minorEastAsia"/>
          <w:color w:val="000000" w:themeColor="text1"/>
          <w:sz w:val="24"/>
          <w:szCs w:val="24"/>
        </w:rPr>
        <w:t>is currently in the process of being implemented and uncertainties are described here. The diatom algorithm is still in development; some information is provided here and more will be available upon algorithm completion.</w:t>
      </w:r>
    </w:p>
    <w:p w14:paraId="18C0403D" w14:textId="391BE8A4" w:rsidR="710A8621" w:rsidRPr="003556E7" w:rsidRDefault="686F4E7B" w:rsidP="710A8621">
      <w:pPr>
        <w:spacing w:beforeAutospacing="1" w:afterAutospacing="1"/>
        <w:rPr>
          <w:rFonts w:eastAsiaTheme="minorEastAsia"/>
          <w:color w:val="000000" w:themeColor="text1"/>
          <w:sz w:val="28"/>
          <w:szCs w:val="28"/>
        </w:rPr>
      </w:pPr>
      <w:r w:rsidRPr="5D6D0DFF">
        <w:rPr>
          <w:rFonts w:eastAsiaTheme="minorEastAsia"/>
          <w:color w:val="000000" w:themeColor="text1"/>
          <w:sz w:val="28"/>
          <w:szCs w:val="28"/>
        </w:rPr>
        <w:t xml:space="preserve">Phytoplankton accessory pigment algorithm via Gaussian decomposition of </w:t>
      </w:r>
      <w:proofErr w:type="spellStart"/>
      <w:r w:rsidRPr="5D6D0DFF">
        <w:rPr>
          <w:rFonts w:eastAsiaTheme="minorEastAsia"/>
          <w:color w:val="000000" w:themeColor="text1"/>
          <w:sz w:val="28"/>
          <w:szCs w:val="28"/>
        </w:rPr>
        <w:t>Rrs</w:t>
      </w:r>
      <w:proofErr w:type="spellEnd"/>
      <w:r w:rsidRPr="5D6D0DFF">
        <w:rPr>
          <w:rFonts w:eastAsiaTheme="minorEastAsia"/>
          <w:color w:val="000000" w:themeColor="text1"/>
          <w:sz w:val="28"/>
          <w:szCs w:val="28"/>
        </w:rPr>
        <w:t xml:space="preserve"> (a.k.a. “GPIG”)</w:t>
      </w:r>
    </w:p>
    <w:p w14:paraId="5B8186B6" w14:textId="5E367EE3" w:rsidR="52FCC572" w:rsidRDefault="463E4564" w:rsidP="5D6D0DFF">
      <w:pPr>
        <w:rPr>
          <w:rFonts w:eastAsiaTheme="minorEastAsia"/>
          <w:i/>
          <w:iCs/>
          <w:color w:val="222222"/>
          <w:sz w:val="28"/>
          <w:szCs w:val="28"/>
        </w:rPr>
      </w:pPr>
      <w:r w:rsidRPr="5D6D0DFF">
        <w:rPr>
          <w:rFonts w:eastAsiaTheme="minorEastAsia"/>
          <w:i/>
          <w:iCs/>
          <w:color w:val="222222"/>
          <w:sz w:val="28"/>
          <w:szCs w:val="28"/>
        </w:rPr>
        <w:t>Algorithm uncertainty estimation</w:t>
      </w:r>
    </w:p>
    <w:p w14:paraId="26BF56D4" w14:textId="414AA084" w:rsidR="0B3D331A" w:rsidRDefault="7D20D756" w:rsidP="5D6D0DFF">
      <w:pPr>
        <w:rPr>
          <w:rFonts w:eastAsiaTheme="minorEastAsia"/>
          <w:sz w:val="24"/>
          <w:szCs w:val="24"/>
        </w:rPr>
      </w:pPr>
      <w:r w:rsidRPr="5D6D0DFF">
        <w:rPr>
          <w:rFonts w:eastAsiaTheme="minorEastAsia"/>
          <w:sz w:val="24"/>
          <w:szCs w:val="24"/>
        </w:rPr>
        <w:t xml:space="preserve">Pigments are estimated from hyperspectral </w:t>
      </w:r>
      <w:proofErr w:type="spellStart"/>
      <w:r w:rsidRPr="5D6D0DFF">
        <w:rPr>
          <w:rFonts w:eastAsiaTheme="minorEastAsia"/>
          <w:sz w:val="24"/>
          <w:szCs w:val="24"/>
        </w:rPr>
        <w:t>Rrs</w:t>
      </w:r>
      <w:proofErr w:type="spellEnd"/>
      <w:r w:rsidRPr="5D6D0DFF">
        <w:rPr>
          <w:rFonts w:eastAsiaTheme="minorEastAsia"/>
          <w:sz w:val="24"/>
          <w:szCs w:val="24"/>
        </w:rPr>
        <w:t xml:space="preserve"> via a combined inversion and Gaussian decomposition method, and the magnitude of Gaussian functions is regressed against phytoplankton pigment concentrations determined using HPLC analysis. </w:t>
      </w:r>
      <w:r w:rsidR="05D44619" w:rsidRPr="5D6D0DFF">
        <w:rPr>
          <w:rFonts w:eastAsiaTheme="minorEastAsia"/>
          <w:sz w:val="24"/>
          <w:szCs w:val="24"/>
        </w:rPr>
        <w:t xml:space="preserve">The coefficients determined from these regressions are thus able to be used to estimate pigments from subsequent hyperspectral </w:t>
      </w:r>
      <w:proofErr w:type="spellStart"/>
      <w:r w:rsidR="05D44619" w:rsidRPr="5D6D0DFF">
        <w:rPr>
          <w:rFonts w:eastAsiaTheme="minorEastAsia"/>
          <w:sz w:val="24"/>
          <w:szCs w:val="24"/>
        </w:rPr>
        <w:t>Rrs</w:t>
      </w:r>
      <w:proofErr w:type="spellEnd"/>
      <w:r w:rsidR="05D44619" w:rsidRPr="5D6D0DFF">
        <w:rPr>
          <w:rFonts w:eastAsiaTheme="minorEastAsia"/>
          <w:sz w:val="24"/>
          <w:szCs w:val="24"/>
        </w:rPr>
        <w:t xml:space="preserve"> measurements. To determine uncertainties in the co</w:t>
      </w:r>
      <w:r w:rsidR="011A6D1B" w:rsidRPr="5D6D0DFF">
        <w:rPr>
          <w:rFonts w:eastAsiaTheme="minorEastAsia"/>
          <w:sz w:val="24"/>
          <w:szCs w:val="24"/>
        </w:rPr>
        <w:t xml:space="preserve">efficients, </w:t>
      </w:r>
      <w:r w:rsidR="011A6D1B" w:rsidRPr="5D6D0DFF">
        <w:rPr>
          <w:rFonts w:eastAsiaTheme="minorEastAsia"/>
          <w:color w:val="231F20"/>
          <w:sz w:val="24"/>
          <w:szCs w:val="24"/>
        </w:rPr>
        <w:t xml:space="preserve">a bootstrapping method iteratively subsamples all data (with replacement; n = 10,000 iterations) during the fitting between Gaussian magnitudes and HPLC pigment concentrations. Following </w:t>
      </w:r>
      <w:r w:rsidR="017927BE" w:rsidRPr="5D6D0DFF">
        <w:rPr>
          <w:rFonts w:eastAsiaTheme="minorEastAsia"/>
          <w:color w:val="231F20"/>
          <w:sz w:val="24"/>
          <w:szCs w:val="24"/>
        </w:rPr>
        <w:t>this</w:t>
      </w:r>
      <w:r w:rsidR="011A6D1B" w:rsidRPr="5D6D0DFF">
        <w:rPr>
          <w:rFonts w:eastAsiaTheme="minorEastAsia"/>
          <w:color w:val="231F20"/>
          <w:sz w:val="24"/>
          <w:szCs w:val="24"/>
        </w:rPr>
        <w:t xml:space="preserve">, we calculated the standard deviation of all iterations for each coefficient </w:t>
      </w:r>
      <w:r w:rsidR="67C6A5A3" w:rsidRPr="5D6D0DFF">
        <w:rPr>
          <w:rFonts w:eastAsiaTheme="minorEastAsia"/>
          <w:color w:val="231F20"/>
          <w:sz w:val="24"/>
          <w:szCs w:val="24"/>
        </w:rPr>
        <w:t>and</w:t>
      </w:r>
      <w:ins w:id="0" w:author="Peter Gaube" w:date="2023-05-17T22:02:00Z">
        <w:r w:rsidR="3B9C5F26" w:rsidRPr="5D6D0DFF">
          <w:rPr>
            <w:rFonts w:eastAsiaTheme="minorEastAsia"/>
            <w:color w:val="231F20"/>
            <w:sz w:val="24"/>
            <w:szCs w:val="24"/>
          </w:rPr>
          <w:t xml:space="preserve"> </w:t>
        </w:r>
      </w:ins>
      <w:r w:rsidR="011A6D1B" w:rsidRPr="5D6D0DFF">
        <w:rPr>
          <w:rFonts w:eastAsiaTheme="minorEastAsia"/>
          <w:color w:val="231F20"/>
          <w:sz w:val="24"/>
          <w:szCs w:val="24"/>
        </w:rPr>
        <w:t>results are provided as</w:t>
      </w:r>
      <w:r w:rsidR="06949237" w:rsidRPr="5D6D0DFF">
        <w:rPr>
          <w:rFonts w:eastAsiaTheme="minorEastAsia"/>
          <w:color w:val="231F20"/>
          <w:sz w:val="24"/>
          <w:szCs w:val="24"/>
        </w:rPr>
        <w:t xml:space="preserve"> coefficient</w:t>
      </w:r>
      <w:r w:rsidR="011A6D1B" w:rsidRPr="5D6D0DFF">
        <w:rPr>
          <w:rFonts w:eastAsiaTheme="minorEastAsia"/>
          <w:color w:val="231F20"/>
          <w:sz w:val="24"/>
          <w:szCs w:val="24"/>
        </w:rPr>
        <w:t xml:space="preserve"> uncertainty values. </w:t>
      </w:r>
      <w:r w:rsidR="6871DAC9" w:rsidRPr="5D6D0DFF">
        <w:rPr>
          <w:rFonts w:eastAsiaTheme="minorEastAsia"/>
          <w:color w:val="231F20"/>
          <w:sz w:val="24"/>
          <w:szCs w:val="24"/>
        </w:rPr>
        <w:t xml:space="preserve">The uncertainties of the coefficients can then be used during the estimation of pigment concentrations from </w:t>
      </w:r>
      <w:proofErr w:type="spellStart"/>
      <w:r w:rsidR="6871DAC9" w:rsidRPr="5D6D0DFF">
        <w:rPr>
          <w:rFonts w:eastAsiaTheme="minorEastAsia"/>
          <w:color w:val="231F20"/>
          <w:sz w:val="24"/>
          <w:szCs w:val="24"/>
        </w:rPr>
        <w:t>Rrs</w:t>
      </w:r>
      <w:proofErr w:type="spellEnd"/>
      <w:r w:rsidR="011A6D1B" w:rsidRPr="5D6D0DFF">
        <w:rPr>
          <w:rFonts w:eastAsiaTheme="minorEastAsia"/>
          <w:color w:val="231F20"/>
          <w:sz w:val="24"/>
          <w:szCs w:val="24"/>
        </w:rPr>
        <w:t xml:space="preserve"> </w:t>
      </w:r>
      <w:r w:rsidR="25CDA232" w:rsidRPr="5D6D0DFF">
        <w:rPr>
          <w:rFonts w:eastAsiaTheme="minorEastAsia"/>
          <w:color w:val="231F20"/>
          <w:sz w:val="24"/>
          <w:szCs w:val="24"/>
        </w:rPr>
        <w:t xml:space="preserve">(for example, via a Monte Carlo approach, where coefficients are multiplied by a random number from a </w:t>
      </w:r>
      <w:r w:rsidR="73C50BE9" w:rsidRPr="5D6D0DFF">
        <w:rPr>
          <w:rFonts w:eastAsiaTheme="minorEastAsia"/>
          <w:color w:val="231F20"/>
          <w:sz w:val="24"/>
          <w:szCs w:val="24"/>
        </w:rPr>
        <w:t>standard</w:t>
      </w:r>
      <w:r w:rsidR="25CDA232" w:rsidRPr="5D6D0DFF">
        <w:rPr>
          <w:rFonts w:eastAsiaTheme="minorEastAsia"/>
          <w:color w:val="231F20"/>
          <w:sz w:val="24"/>
          <w:szCs w:val="24"/>
        </w:rPr>
        <w:t xml:space="preserve"> norma</w:t>
      </w:r>
      <w:r w:rsidR="4DC5B529" w:rsidRPr="5D6D0DFF">
        <w:rPr>
          <w:rFonts w:eastAsiaTheme="minorEastAsia"/>
          <w:color w:val="231F20"/>
          <w:sz w:val="24"/>
          <w:szCs w:val="24"/>
        </w:rPr>
        <w:t>l distribution</w:t>
      </w:r>
      <w:r w:rsidR="25CDA232" w:rsidRPr="5D6D0DFF">
        <w:rPr>
          <w:rFonts w:eastAsiaTheme="minorEastAsia"/>
          <w:color w:val="231F20"/>
          <w:sz w:val="24"/>
          <w:szCs w:val="24"/>
        </w:rPr>
        <w:t xml:space="preserve"> over thousands of simulations</w:t>
      </w:r>
      <w:r w:rsidR="2EB3E2F3" w:rsidRPr="5D6D0DFF">
        <w:rPr>
          <w:rFonts w:eastAsiaTheme="minorEastAsia"/>
          <w:color w:val="231F20"/>
          <w:sz w:val="24"/>
          <w:szCs w:val="24"/>
        </w:rPr>
        <w:t>)</w:t>
      </w:r>
      <w:r w:rsidR="25CDA232" w:rsidRPr="5D6D0DFF">
        <w:rPr>
          <w:rFonts w:eastAsiaTheme="minorEastAsia"/>
          <w:color w:val="231F20"/>
          <w:sz w:val="24"/>
          <w:szCs w:val="24"/>
        </w:rPr>
        <w:t>.</w:t>
      </w:r>
      <w:r w:rsidR="0B3D331A">
        <w:tab/>
      </w:r>
      <w:r w:rsidR="0B3D331A">
        <w:tab/>
      </w:r>
    </w:p>
    <w:p w14:paraId="4BD50826" w14:textId="1827E03C" w:rsidR="782EB7B8" w:rsidRDefault="782EB7B8" w:rsidP="710A8621">
      <w:pPr>
        <w:rPr>
          <w:rFonts w:eastAsiaTheme="minorEastAsia"/>
          <w:sz w:val="24"/>
          <w:szCs w:val="24"/>
        </w:rPr>
      </w:pPr>
      <w:r w:rsidRPr="710A8621">
        <w:rPr>
          <w:rFonts w:eastAsiaTheme="minorEastAsia"/>
          <w:sz w:val="24"/>
          <w:szCs w:val="24"/>
        </w:rPr>
        <w:t>This approach is detailed in:</w:t>
      </w:r>
    </w:p>
    <w:p w14:paraId="01C349B1" w14:textId="439FAFA3" w:rsidR="561972C3" w:rsidRDefault="28B56760" w:rsidP="710A8621">
      <w:pPr>
        <w:rPr>
          <w:rFonts w:eastAsiaTheme="minorEastAsia"/>
          <w:color w:val="231F20"/>
          <w:sz w:val="24"/>
          <w:szCs w:val="24"/>
        </w:rPr>
      </w:pPr>
      <w:r w:rsidRPr="5D6D0DFF">
        <w:rPr>
          <w:rFonts w:eastAsiaTheme="minorEastAsia"/>
          <w:color w:val="231F20"/>
          <w:sz w:val="24"/>
          <w:szCs w:val="24"/>
        </w:rPr>
        <w:lastRenderedPageBreak/>
        <w:t xml:space="preserve">Chase, A. P., Boss, E., </w:t>
      </w:r>
      <w:proofErr w:type="spellStart"/>
      <w:r w:rsidRPr="5D6D0DFF">
        <w:rPr>
          <w:rFonts w:eastAsiaTheme="minorEastAsia"/>
          <w:color w:val="231F20"/>
          <w:sz w:val="24"/>
          <w:szCs w:val="24"/>
        </w:rPr>
        <w:t>Cetinic</w:t>
      </w:r>
      <w:proofErr w:type="spellEnd"/>
      <w:r w:rsidRPr="5D6D0DFF">
        <w:rPr>
          <w:rFonts w:eastAsiaTheme="minorEastAsia"/>
          <w:color w:val="231F20"/>
          <w:sz w:val="24"/>
          <w:szCs w:val="24"/>
        </w:rPr>
        <w:t xml:space="preserve"> ́, I., &amp; Slade, W. (2017). Estimation of phytoplankton accessory pigments from hyperspectral reflectance spectra: Toward a global algorithm. Journal of Geophysical Research: Oceans, 122. </w:t>
      </w:r>
      <w:hyperlink r:id="rId5">
        <w:r w:rsidRPr="5D6D0DFF">
          <w:rPr>
            <w:rStyle w:val="Hyperlink"/>
            <w:rFonts w:eastAsiaTheme="minorEastAsia"/>
            <w:sz w:val="24"/>
            <w:szCs w:val="24"/>
          </w:rPr>
          <w:t>https://doi.org/10.1002/2017JC012859</w:t>
        </w:r>
      </w:hyperlink>
      <w:r w:rsidRPr="5D6D0DFF">
        <w:rPr>
          <w:rFonts w:eastAsiaTheme="minorEastAsia"/>
          <w:color w:val="231F20"/>
          <w:sz w:val="24"/>
          <w:szCs w:val="24"/>
        </w:rPr>
        <w:t xml:space="preserve"> </w:t>
      </w:r>
    </w:p>
    <w:p w14:paraId="27DD5069" w14:textId="73C3F3CF" w:rsidR="561972C3" w:rsidRDefault="28B56760" w:rsidP="5D6D0DFF">
      <w:pPr>
        <w:rPr>
          <w:rFonts w:eastAsiaTheme="minorEastAsia"/>
          <w:i/>
          <w:iCs/>
          <w:color w:val="222222"/>
          <w:sz w:val="28"/>
          <w:szCs w:val="28"/>
        </w:rPr>
      </w:pPr>
      <w:r w:rsidRPr="5D6D0DFF">
        <w:rPr>
          <w:rFonts w:eastAsiaTheme="minorEastAsia"/>
          <w:i/>
          <w:iCs/>
          <w:color w:val="222222"/>
          <w:sz w:val="28"/>
          <w:szCs w:val="28"/>
        </w:rPr>
        <w:t>Validation plan for implemented pigment algorithm</w:t>
      </w:r>
    </w:p>
    <w:p w14:paraId="4112EEDD" w14:textId="3BFE07AF" w:rsidR="0BF0B7FC" w:rsidRDefault="0BF0B7FC" w:rsidP="710A8621">
      <w:pPr>
        <w:rPr>
          <w:rFonts w:eastAsiaTheme="minorEastAsia"/>
          <w:color w:val="222222"/>
          <w:sz w:val="24"/>
          <w:szCs w:val="24"/>
        </w:rPr>
      </w:pPr>
      <w:r w:rsidRPr="710A8621">
        <w:rPr>
          <w:rFonts w:eastAsiaTheme="minorEastAsia"/>
          <w:color w:val="222222"/>
          <w:sz w:val="24"/>
          <w:szCs w:val="24"/>
        </w:rPr>
        <w:t xml:space="preserve">The GPIG algorithm will be validated against coincident measurements of hyperspectral </w:t>
      </w:r>
      <w:proofErr w:type="spellStart"/>
      <w:r w:rsidRPr="710A8621">
        <w:rPr>
          <w:rFonts w:eastAsiaTheme="minorEastAsia"/>
          <w:color w:val="222222"/>
          <w:sz w:val="24"/>
          <w:szCs w:val="24"/>
        </w:rPr>
        <w:t>Rrs</w:t>
      </w:r>
      <w:proofErr w:type="spellEnd"/>
      <w:r w:rsidRPr="710A8621">
        <w:rPr>
          <w:rFonts w:eastAsiaTheme="minorEastAsia"/>
          <w:color w:val="222222"/>
          <w:sz w:val="24"/>
          <w:szCs w:val="24"/>
        </w:rPr>
        <w:t xml:space="preserve"> and phytoplankton accessory pigment collected </w:t>
      </w:r>
      <w:r w:rsidR="41F5D2F0" w:rsidRPr="710A8621">
        <w:rPr>
          <w:rFonts w:eastAsiaTheme="minorEastAsia"/>
          <w:color w:val="222222"/>
          <w:sz w:val="24"/>
          <w:szCs w:val="24"/>
        </w:rPr>
        <w:t xml:space="preserve">as a part of </w:t>
      </w:r>
      <w:r w:rsidRPr="710A8621">
        <w:rPr>
          <w:rFonts w:eastAsiaTheme="minorEastAsia"/>
          <w:color w:val="222222"/>
          <w:sz w:val="24"/>
          <w:szCs w:val="24"/>
        </w:rPr>
        <w:t xml:space="preserve">the PACE validation </w:t>
      </w:r>
      <w:r w:rsidR="219F4EDA" w:rsidRPr="710A8621">
        <w:rPr>
          <w:rFonts w:eastAsiaTheme="minorEastAsia"/>
          <w:color w:val="222222"/>
          <w:sz w:val="24"/>
          <w:szCs w:val="24"/>
        </w:rPr>
        <w:t>efforts. Challenges include spatial resolution of match-ups between in situ data and PACE</w:t>
      </w:r>
      <w:r w:rsidR="36310A6C" w:rsidRPr="710A8621">
        <w:rPr>
          <w:rFonts w:eastAsiaTheme="minorEastAsia"/>
          <w:color w:val="222222"/>
          <w:sz w:val="24"/>
          <w:szCs w:val="24"/>
        </w:rPr>
        <w:t xml:space="preserve">-based </w:t>
      </w:r>
      <w:proofErr w:type="spellStart"/>
      <w:r w:rsidR="36310A6C" w:rsidRPr="710A8621">
        <w:rPr>
          <w:rFonts w:eastAsiaTheme="minorEastAsia"/>
          <w:color w:val="222222"/>
          <w:sz w:val="24"/>
          <w:szCs w:val="24"/>
        </w:rPr>
        <w:t>Rrs</w:t>
      </w:r>
      <w:proofErr w:type="spellEnd"/>
      <w:r w:rsidR="36310A6C" w:rsidRPr="710A8621">
        <w:rPr>
          <w:rFonts w:eastAsiaTheme="minorEastAsia"/>
          <w:color w:val="222222"/>
          <w:sz w:val="24"/>
          <w:szCs w:val="24"/>
        </w:rPr>
        <w:t xml:space="preserve"> measurements.</w:t>
      </w:r>
      <w:r w:rsidR="49CCE39D" w:rsidRPr="710A8621">
        <w:rPr>
          <w:rFonts w:eastAsiaTheme="minorEastAsia"/>
          <w:color w:val="222222"/>
          <w:sz w:val="24"/>
          <w:szCs w:val="24"/>
        </w:rPr>
        <w:t xml:space="preserve"> This will be addressed by comparing sub-pixel variability of ship-based </w:t>
      </w:r>
      <w:proofErr w:type="spellStart"/>
      <w:r w:rsidR="49CCE39D" w:rsidRPr="710A8621">
        <w:rPr>
          <w:rFonts w:eastAsiaTheme="minorEastAsia"/>
          <w:color w:val="222222"/>
          <w:sz w:val="24"/>
          <w:szCs w:val="24"/>
        </w:rPr>
        <w:t>Rrs</w:t>
      </w:r>
      <w:proofErr w:type="spellEnd"/>
      <w:r w:rsidR="49CCE39D" w:rsidRPr="710A8621">
        <w:rPr>
          <w:rFonts w:eastAsiaTheme="minorEastAsia"/>
          <w:color w:val="222222"/>
          <w:sz w:val="24"/>
          <w:szCs w:val="24"/>
        </w:rPr>
        <w:t xml:space="preserve"> with PACE OCI-derived </w:t>
      </w:r>
      <w:proofErr w:type="spellStart"/>
      <w:r w:rsidR="49CCE39D" w:rsidRPr="710A8621">
        <w:rPr>
          <w:rFonts w:eastAsiaTheme="minorEastAsia"/>
          <w:color w:val="222222"/>
          <w:sz w:val="24"/>
          <w:szCs w:val="24"/>
        </w:rPr>
        <w:t>Rrs</w:t>
      </w:r>
      <w:proofErr w:type="spellEnd"/>
      <w:r w:rsidR="49CCE39D" w:rsidRPr="710A8621">
        <w:rPr>
          <w:rFonts w:eastAsiaTheme="minorEastAsia"/>
          <w:color w:val="222222"/>
          <w:sz w:val="24"/>
          <w:szCs w:val="24"/>
        </w:rPr>
        <w:t xml:space="preserve">, to assess whether increased sub-pixel variability also leads to increased uncertainties in pigments estimated from </w:t>
      </w:r>
      <w:proofErr w:type="spellStart"/>
      <w:r w:rsidR="49CCE39D" w:rsidRPr="710A8621">
        <w:rPr>
          <w:rFonts w:eastAsiaTheme="minorEastAsia"/>
          <w:color w:val="222222"/>
          <w:sz w:val="24"/>
          <w:szCs w:val="24"/>
        </w:rPr>
        <w:t>Rrs</w:t>
      </w:r>
      <w:proofErr w:type="spellEnd"/>
      <w:r w:rsidR="49CCE39D" w:rsidRPr="710A8621">
        <w:rPr>
          <w:rFonts w:eastAsiaTheme="minorEastAsia"/>
          <w:color w:val="222222"/>
          <w:sz w:val="24"/>
          <w:szCs w:val="24"/>
        </w:rPr>
        <w:t>.</w:t>
      </w:r>
    </w:p>
    <w:p w14:paraId="4EE68BAE" w14:textId="582B58EB" w:rsidR="710A8621" w:rsidRDefault="710A8621" w:rsidP="710A8621">
      <w:pPr>
        <w:rPr>
          <w:rFonts w:eastAsiaTheme="minorEastAsia"/>
          <w:color w:val="222222"/>
          <w:sz w:val="24"/>
          <w:szCs w:val="24"/>
        </w:rPr>
      </w:pPr>
    </w:p>
    <w:p w14:paraId="37BAE9BC" w14:textId="3B53CA63" w:rsidR="50782911" w:rsidRDefault="1371BF4C" w:rsidP="5D6D0DFF">
      <w:pPr>
        <w:rPr>
          <w:rFonts w:eastAsiaTheme="minorEastAsia"/>
          <w:color w:val="222222"/>
          <w:sz w:val="28"/>
          <w:szCs w:val="28"/>
        </w:rPr>
      </w:pPr>
      <w:r w:rsidRPr="5D6D0DFF">
        <w:rPr>
          <w:rFonts w:eastAsiaTheme="minorEastAsia"/>
          <w:color w:val="222222"/>
          <w:sz w:val="28"/>
          <w:szCs w:val="28"/>
        </w:rPr>
        <w:t xml:space="preserve">Diatom carbon algorithm </w:t>
      </w:r>
    </w:p>
    <w:p w14:paraId="6E2CF0D9" w14:textId="32916004" w:rsidR="50782911" w:rsidRDefault="1371BF4C" w:rsidP="5D6D0DFF">
      <w:pPr>
        <w:rPr>
          <w:rFonts w:eastAsiaTheme="minorEastAsia"/>
          <w:i/>
          <w:iCs/>
          <w:color w:val="222222"/>
          <w:sz w:val="28"/>
          <w:szCs w:val="28"/>
        </w:rPr>
      </w:pPr>
      <w:r w:rsidRPr="5D6D0DFF">
        <w:rPr>
          <w:rFonts w:eastAsiaTheme="minorEastAsia"/>
          <w:i/>
          <w:iCs/>
          <w:color w:val="222222"/>
          <w:sz w:val="28"/>
          <w:szCs w:val="28"/>
        </w:rPr>
        <w:t>Algorithm uncertainty estimation</w:t>
      </w:r>
    </w:p>
    <w:p w14:paraId="7B2893C8" w14:textId="6FC3C3DC" w:rsidR="50782911" w:rsidRDefault="50782911" w:rsidP="710A8621">
      <w:pPr>
        <w:rPr>
          <w:rFonts w:eastAsiaTheme="minorEastAsia"/>
          <w:color w:val="222222"/>
          <w:sz w:val="24"/>
          <w:szCs w:val="24"/>
        </w:rPr>
      </w:pPr>
      <w:r w:rsidRPr="710A8621">
        <w:rPr>
          <w:rFonts w:eastAsiaTheme="minorEastAsia"/>
          <w:color w:val="222222"/>
          <w:sz w:val="24"/>
          <w:szCs w:val="24"/>
        </w:rPr>
        <w:t xml:space="preserve">Diatom carbon concentrations are estimated using an algorithm that includes environmental and optical input parameters. There are several sources of uncertainty in the algorithm: </w:t>
      </w:r>
      <w:r w:rsidR="427A2CB4" w:rsidRPr="710A8621">
        <w:rPr>
          <w:rFonts w:eastAsiaTheme="minorEastAsia"/>
          <w:color w:val="222222"/>
          <w:sz w:val="24"/>
          <w:szCs w:val="24"/>
        </w:rPr>
        <w:t>uncertainties in the input parameters, uncertainty/accuracy in the machine learning algorithm itself, and uncertainty in the target parameters (plankton cell imagery data in this case). We propagate all uncertai</w:t>
      </w:r>
      <w:r w:rsidR="07017628" w:rsidRPr="710A8621">
        <w:rPr>
          <w:rFonts w:eastAsiaTheme="minorEastAsia"/>
          <w:color w:val="222222"/>
          <w:sz w:val="24"/>
          <w:szCs w:val="24"/>
        </w:rPr>
        <w:t>nties and errors such that the end product (diatom carbon concentration) has an average uncertainty associated with the concentration value.</w:t>
      </w:r>
      <w:r w:rsidR="1C5903B5" w:rsidRPr="710A8621">
        <w:rPr>
          <w:rFonts w:eastAsiaTheme="minorEastAsia"/>
          <w:color w:val="222222"/>
          <w:sz w:val="24"/>
          <w:szCs w:val="24"/>
        </w:rPr>
        <w:t xml:space="preserve"> A demonstration of this approach can be found in the supporting information of:</w:t>
      </w:r>
    </w:p>
    <w:p w14:paraId="0BF04B34" w14:textId="73A6A3F9" w:rsidR="63198101" w:rsidRDefault="06C7AE25" w:rsidP="710A8621">
      <w:pPr>
        <w:rPr>
          <w:rFonts w:eastAsiaTheme="minorEastAsia"/>
          <w:sz w:val="24"/>
          <w:szCs w:val="24"/>
        </w:rPr>
      </w:pPr>
      <w:r w:rsidRPr="5D6D0DFF">
        <w:rPr>
          <w:rFonts w:eastAsiaTheme="minorEastAsia"/>
          <w:sz w:val="24"/>
          <w:szCs w:val="24"/>
        </w:rPr>
        <w:t xml:space="preserve">Chase, A. P., Boss, E. S., </w:t>
      </w:r>
      <w:proofErr w:type="spellStart"/>
      <w:r w:rsidRPr="5D6D0DFF">
        <w:rPr>
          <w:rFonts w:eastAsiaTheme="minorEastAsia"/>
          <w:sz w:val="24"/>
          <w:szCs w:val="24"/>
        </w:rPr>
        <w:t>Haëntjens</w:t>
      </w:r>
      <w:proofErr w:type="spellEnd"/>
      <w:r w:rsidRPr="5D6D0DFF">
        <w:rPr>
          <w:rFonts w:eastAsiaTheme="minorEastAsia"/>
          <w:sz w:val="24"/>
          <w:szCs w:val="24"/>
        </w:rPr>
        <w:t xml:space="preserve">, N., Culhane, E., Roesler, C., &amp; Karp- Boss, L. (2022). Plankton imagery data inform satellite-based estimates of diatom carbon. </w:t>
      </w:r>
      <w:r w:rsidRPr="5D6D0DFF">
        <w:rPr>
          <w:rFonts w:eastAsiaTheme="minorEastAsia"/>
          <w:i/>
          <w:iCs/>
          <w:sz w:val="24"/>
          <w:szCs w:val="24"/>
        </w:rPr>
        <w:t>Geophysical Research Letters</w:t>
      </w:r>
      <w:r w:rsidRPr="5D6D0DFF">
        <w:rPr>
          <w:rFonts w:eastAsiaTheme="minorEastAsia"/>
          <w:sz w:val="24"/>
          <w:szCs w:val="24"/>
        </w:rPr>
        <w:t xml:space="preserve">, </w:t>
      </w:r>
      <w:r w:rsidRPr="5D6D0DFF">
        <w:rPr>
          <w:rFonts w:eastAsiaTheme="minorEastAsia"/>
          <w:i/>
          <w:iCs/>
          <w:sz w:val="24"/>
          <w:szCs w:val="24"/>
        </w:rPr>
        <w:t>49</w:t>
      </w:r>
      <w:r w:rsidRPr="5D6D0DFF">
        <w:rPr>
          <w:rFonts w:eastAsiaTheme="minorEastAsia"/>
          <w:sz w:val="24"/>
          <w:szCs w:val="24"/>
        </w:rPr>
        <w:t xml:space="preserve">, e2022GL098076. </w:t>
      </w:r>
      <w:hyperlink r:id="rId6">
        <w:r w:rsidRPr="5D6D0DFF">
          <w:rPr>
            <w:rStyle w:val="Hyperlink"/>
            <w:rFonts w:eastAsiaTheme="minorEastAsia"/>
            <w:sz w:val="24"/>
            <w:szCs w:val="24"/>
          </w:rPr>
          <w:t>https://doi</w:t>
        </w:r>
      </w:hyperlink>
      <w:r w:rsidRPr="5D6D0DFF">
        <w:rPr>
          <w:rFonts w:eastAsiaTheme="minorEastAsia"/>
          <w:color w:val="0000FF"/>
          <w:sz w:val="24"/>
          <w:szCs w:val="24"/>
        </w:rPr>
        <w:t xml:space="preserve">. org/10.1029/2022GL098076 </w:t>
      </w:r>
      <w:r w:rsidR="63198101">
        <w:tab/>
      </w:r>
      <w:r w:rsidR="63198101">
        <w:tab/>
      </w:r>
      <w:r w:rsidR="63198101">
        <w:tab/>
      </w:r>
      <w:r w:rsidR="63198101">
        <w:tab/>
      </w:r>
      <w:r w:rsidRPr="5D6D0DFF">
        <w:rPr>
          <w:rFonts w:eastAsiaTheme="minorEastAsia"/>
          <w:sz w:val="24"/>
          <w:szCs w:val="24"/>
        </w:rPr>
        <w:t xml:space="preserve"> </w:t>
      </w:r>
    </w:p>
    <w:p w14:paraId="681D61A3" w14:textId="204BC0F6" w:rsidR="63198101" w:rsidRDefault="06C7AE25" w:rsidP="5D6D0DFF">
      <w:pPr>
        <w:rPr>
          <w:rFonts w:eastAsiaTheme="minorEastAsia"/>
          <w:i/>
          <w:iCs/>
          <w:color w:val="222222"/>
          <w:sz w:val="28"/>
          <w:szCs w:val="28"/>
        </w:rPr>
      </w:pPr>
      <w:r w:rsidRPr="5D6D0DFF">
        <w:rPr>
          <w:rFonts w:eastAsiaTheme="minorEastAsia"/>
          <w:i/>
          <w:iCs/>
          <w:color w:val="222222"/>
          <w:sz w:val="28"/>
          <w:szCs w:val="28"/>
        </w:rPr>
        <w:t>Validation plan for implemented pigment algorithm</w:t>
      </w:r>
    </w:p>
    <w:p w14:paraId="09934FC3" w14:textId="03595D80" w:rsidR="63198101" w:rsidRDefault="06C7AE25" w:rsidP="5D6D0DFF">
      <w:pPr>
        <w:rPr>
          <w:rFonts w:eastAsiaTheme="minorEastAsia"/>
          <w:sz w:val="24"/>
          <w:szCs w:val="24"/>
        </w:rPr>
      </w:pPr>
      <w:r w:rsidRPr="5D6D0DFF">
        <w:rPr>
          <w:rFonts w:eastAsiaTheme="minorEastAsia"/>
          <w:sz w:val="24"/>
          <w:szCs w:val="24"/>
        </w:rPr>
        <w:t>Following the completion and implementation of the diatom carbon algorithm planned during 2024, plankton cell imagery data collected during PACE mission validation efforts will be used to compare to diatom carbon concentrations estimated from PACE</w:t>
      </w:r>
      <w:r w:rsidR="777495B7" w:rsidRPr="5D6D0DFF">
        <w:rPr>
          <w:rFonts w:eastAsiaTheme="minorEastAsia"/>
          <w:sz w:val="24"/>
          <w:szCs w:val="24"/>
        </w:rPr>
        <w:t xml:space="preserve"> data. A notable challenge with this effort </w:t>
      </w:r>
      <w:r w:rsidR="5B853F04" w:rsidRPr="5D6D0DFF">
        <w:rPr>
          <w:rFonts w:eastAsiaTheme="minorEastAsia"/>
          <w:sz w:val="24"/>
          <w:szCs w:val="24"/>
        </w:rPr>
        <w:t>is</w:t>
      </w:r>
      <w:r w:rsidR="777495B7" w:rsidRPr="5D6D0DFF">
        <w:rPr>
          <w:rFonts w:eastAsiaTheme="minorEastAsia"/>
          <w:sz w:val="24"/>
          <w:szCs w:val="24"/>
        </w:rPr>
        <w:t xml:space="preserve"> the need to account for the sour</w:t>
      </w:r>
      <w:r w:rsidR="7F41F4C1" w:rsidRPr="5D6D0DFF">
        <w:rPr>
          <w:rFonts w:eastAsiaTheme="minorEastAsia"/>
          <w:sz w:val="24"/>
          <w:szCs w:val="24"/>
        </w:rPr>
        <w:t xml:space="preserve">ces of </w:t>
      </w:r>
      <w:r w:rsidR="36F91DA6" w:rsidRPr="5D6D0DFF">
        <w:rPr>
          <w:rFonts w:eastAsiaTheme="minorEastAsia"/>
          <w:sz w:val="24"/>
          <w:szCs w:val="24"/>
        </w:rPr>
        <w:t xml:space="preserve">uncertainty in the input parameters that are derived from other satellite measurements (not PACE), including ocean SST and SSS. Uncertainties in these products will need to be combined with the uncertainties in the phytoplankton pigments (determined as described above in this document) </w:t>
      </w:r>
      <w:r w:rsidR="666059AE" w:rsidRPr="5D6D0DFF">
        <w:rPr>
          <w:rFonts w:eastAsiaTheme="minorEastAsia"/>
          <w:sz w:val="24"/>
          <w:szCs w:val="24"/>
        </w:rPr>
        <w:t xml:space="preserve">that will be derived from PACE OCI. Additionally, there is also the challenge of spatial resolution differences between in situ data and satellite match-ups. </w:t>
      </w:r>
      <w:r w:rsidR="5495FF26" w:rsidRPr="5D6D0DFF">
        <w:rPr>
          <w:rFonts w:eastAsiaTheme="minorEastAsia"/>
          <w:sz w:val="24"/>
          <w:szCs w:val="24"/>
        </w:rPr>
        <w:t>These uncertainties will be assessed during algorithm product validation.</w:t>
      </w:r>
      <w:r w:rsidR="63198101">
        <w:tab/>
      </w:r>
      <w:r w:rsidR="63198101">
        <w:tab/>
      </w:r>
      <w:r w:rsidR="63198101">
        <w:tab/>
      </w:r>
    </w:p>
    <w:sectPr w:rsidR="63198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7FDEC"/>
    <w:multiLevelType w:val="hybridMultilevel"/>
    <w:tmpl w:val="F7C01D60"/>
    <w:lvl w:ilvl="0" w:tplc="4F00481C">
      <w:start w:val="1"/>
      <w:numFmt w:val="bullet"/>
      <w:lvlText w:val=""/>
      <w:lvlJc w:val="left"/>
      <w:pPr>
        <w:ind w:left="720" w:hanging="360"/>
      </w:pPr>
      <w:rPr>
        <w:rFonts w:ascii="Symbol" w:hAnsi="Symbol" w:hint="default"/>
      </w:rPr>
    </w:lvl>
    <w:lvl w:ilvl="1" w:tplc="BB94C0EA">
      <w:start w:val="1"/>
      <w:numFmt w:val="bullet"/>
      <w:lvlText w:val="o"/>
      <w:lvlJc w:val="left"/>
      <w:pPr>
        <w:ind w:left="1440" w:hanging="360"/>
      </w:pPr>
      <w:rPr>
        <w:rFonts w:ascii="Courier New" w:hAnsi="Courier New" w:hint="default"/>
      </w:rPr>
    </w:lvl>
    <w:lvl w:ilvl="2" w:tplc="89282EBE">
      <w:start w:val="1"/>
      <w:numFmt w:val="bullet"/>
      <w:lvlText w:val=""/>
      <w:lvlJc w:val="left"/>
      <w:pPr>
        <w:ind w:left="2160" w:hanging="360"/>
      </w:pPr>
      <w:rPr>
        <w:rFonts w:ascii="Wingdings" w:hAnsi="Wingdings" w:hint="default"/>
      </w:rPr>
    </w:lvl>
    <w:lvl w:ilvl="3" w:tplc="B1D816F4">
      <w:start w:val="1"/>
      <w:numFmt w:val="bullet"/>
      <w:lvlText w:val=""/>
      <w:lvlJc w:val="left"/>
      <w:pPr>
        <w:ind w:left="2880" w:hanging="360"/>
      </w:pPr>
      <w:rPr>
        <w:rFonts w:ascii="Symbol" w:hAnsi="Symbol" w:hint="default"/>
      </w:rPr>
    </w:lvl>
    <w:lvl w:ilvl="4" w:tplc="E280D266">
      <w:start w:val="1"/>
      <w:numFmt w:val="bullet"/>
      <w:lvlText w:val="o"/>
      <w:lvlJc w:val="left"/>
      <w:pPr>
        <w:ind w:left="3600" w:hanging="360"/>
      </w:pPr>
      <w:rPr>
        <w:rFonts w:ascii="Courier New" w:hAnsi="Courier New" w:hint="default"/>
      </w:rPr>
    </w:lvl>
    <w:lvl w:ilvl="5" w:tplc="3572C816">
      <w:start w:val="1"/>
      <w:numFmt w:val="bullet"/>
      <w:lvlText w:val=""/>
      <w:lvlJc w:val="left"/>
      <w:pPr>
        <w:ind w:left="4320" w:hanging="360"/>
      </w:pPr>
      <w:rPr>
        <w:rFonts w:ascii="Wingdings" w:hAnsi="Wingdings" w:hint="default"/>
      </w:rPr>
    </w:lvl>
    <w:lvl w:ilvl="6" w:tplc="B0786E76">
      <w:start w:val="1"/>
      <w:numFmt w:val="bullet"/>
      <w:lvlText w:val=""/>
      <w:lvlJc w:val="left"/>
      <w:pPr>
        <w:ind w:left="5040" w:hanging="360"/>
      </w:pPr>
      <w:rPr>
        <w:rFonts w:ascii="Symbol" w:hAnsi="Symbol" w:hint="default"/>
      </w:rPr>
    </w:lvl>
    <w:lvl w:ilvl="7" w:tplc="28F256B0">
      <w:start w:val="1"/>
      <w:numFmt w:val="bullet"/>
      <w:lvlText w:val="o"/>
      <w:lvlJc w:val="left"/>
      <w:pPr>
        <w:ind w:left="5760" w:hanging="360"/>
      </w:pPr>
      <w:rPr>
        <w:rFonts w:ascii="Courier New" w:hAnsi="Courier New" w:hint="default"/>
      </w:rPr>
    </w:lvl>
    <w:lvl w:ilvl="8" w:tplc="FE222A54">
      <w:start w:val="1"/>
      <w:numFmt w:val="bullet"/>
      <w:lvlText w:val=""/>
      <w:lvlJc w:val="left"/>
      <w:pPr>
        <w:ind w:left="6480" w:hanging="360"/>
      </w:pPr>
      <w:rPr>
        <w:rFonts w:ascii="Wingdings" w:hAnsi="Wingdings" w:hint="default"/>
      </w:rPr>
    </w:lvl>
  </w:abstractNum>
  <w:abstractNum w:abstractNumId="1" w15:restartNumberingAfterBreak="0">
    <w:nsid w:val="4DD5BFDA"/>
    <w:multiLevelType w:val="hybridMultilevel"/>
    <w:tmpl w:val="E5FA57F0"/>
    <w:lvl w:ilvl="0" w:tplc="E8D61DAC">
      <w:start w:val="1"/>
      <w:numFmt w:val="bullet"/>
      <w:lvlText w:val=""/>
      <w:lvlJc w:val="left"/>
      <w:pPr>
        <w:ind w:left="720" w:hanging="360"/>
      </w:pPr>
      <w:rPr>
        <w:rFonts w:ascii="Symbol" w:hAnsi="Symbol" w:hint="default"/>
      </w:rPr>
    </w:lvl>
    <w:lvl w:ilvl="1" w:tplc="9312C010">
      <w:start w:val="1"/>
      <w:numFmt w:val="bullet"/>
      <w:lvlText w:val="o"/>
      <w:lvlJc w:val="left"/>
      <w:pPr>
        <w:ind w:left="1440" w:hanging="360"/>
      </w:pPr>
      <w:rPr>
        <w:rFonts w:ascii="Courier New" w:hAnsi="Courier New" w:hint="default"/>
      </w:rPr>
    </w:lvl>
    <w:lvl w:ilvl="2" w:tplc="A9D865E6">
      <w:start w:val="1"/>
      <w:numFmt w:val="bullet"/>
      <w:lvlText w:val=""/>
      <w:lvlJc w:val="left"/>
      <w:pPr>
        <w:ind w:left="2160" w:hanging="360"/>
      </w:pPr>
      <w:rPr>
        <w:rFonts w:ascii="Wingdings" w:hAnsi="Wingdings" w:hint="default"/>
      </w:rPr>
    </w:lvl>
    <w:lvl w:ilvl="3" w:tplc="B4C6B164">
      <w:start w:val="1"/>
      <w:numFmt w:val="bullet"/>
      <w:lvlText w:val=""/>
      <w:lvlJc w:val="left"/>
      <w:pPr>
        <w:ind w:left="2880" w:hanging="360"/>
      </w:pPr>
      <w:rPr>
        <w:rFonts w:ascii="Symbol" w:hAnsi="Symbol" w:hint="default"/>
      </w:rPr>
    </w:lvl>
    <w:lvl w:ilvl="4" w:tplc="D01428CA">
      <w:start w:val="1"/>
      <w:numFmt w:val="bullet"/>
      <w:lvlText w:val="o"/>
      <w:lvlJc w:val="left"/>
      <w:pPr>
        <w:ind w:left="3600" w:hanging="360"/>
      </w:pPr>
      <w:rPr>
        <w:rFonts w:ascii="Courier New" w:hAnsi="Courier New" w:hint="default"/>
      </w:rPr>
    </w:lvl>
    <w:lvl w:ilvl="5" w:tplc="110AEF80">
      <w:start w:val="1"/>
      <w:numFmt w:val="bullet"/>
      <w:lvlText w:val=""/>
      <w:lvlJc w:val="left"/>
      <w:pPr>
        <w:ind w:left="4320" w:hanging="360"/>
      </w:pPr>
      <w:rPr>
        <w:rFonts w:ascii="Wingdings" w:hAnsi="Wingdings" w:hint="default"/>
      </w:rPr>
    </w:lvl>
    <w:lvl w:ilvl="6" w:tplc="BBD6828A">
      <w:start w:val="1"/>
      <w:numFmt w:val="bullet"/>
      <w:lvlText w:val=""/>
      <w:lvlJc w:val="left"/>
      <w:pPr>
        <w:ind w:left="5040" w:hanging="360"/>
      </w:pPr>
      <w:rPr>
        <w:rFonts w:ascii="Symbol" w:hAnsi="Symbol" w:hint="default"/>
      </w:rPr>
    </w:lvl>
    <w:lvl w:ilvl="7" w:tplc="8E82A0F8">
      <w:start w:val="1"/>
      <w:numFmt w:val="bullet"/>
      <w:lvlText w:val="o"/>
      <w:lvlJc w:val="left"/>
      <w:pPr>
        <w:ind w:left="5760" w:hanging="360"/>
      </w:pPr>
      <w:rPr>
        <w:rFonts w:ascii="Courier New" w:hAnsi="Courier New" w:hint="default"/>
      </w:rPr>
    </w:lvl>
    <w:lvl w:ilvl="8" w:tplc="DBAE4A32">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B72E9B"/>
    <w:rsid w:val="003556E7"/>
    <w:rsid w:val="00E9103E"/>
    <w:rsid w:val="011A6D1B"/>
    <w:rsid w:val="017927BE"/>
    <w:rsid w:val="053E3B57"/>
    <w:rsid w:val="054527CD"/>
    <w:rsid w:val="05D44619"/>
    <w:rsid w:val="0681A055"/>
    <w:rsid w:val="06949237"/>
    <w:rsid w:val="06C7AE25"/>
    <w:rsid w:val="07017628"/>
    <w:rsid w:val="075BD644"/>
    <w:rsid w:val="07CCCD9B"/>
    <w:rsid w:val="083A0EA2"/>
    <w:rsid w:val="09FE2A6B"/>
    <w:rsid w:val="0B3D331A"/>
    <w:rsid w:val="0BF0B7FC"/>
    <w:rsid w:val="0C27BE88"/>
    <w:rsid w:val="0CD65C80"/>
    <w:rsid w:val="0F655492"/>
    <w:rsid w:val="0FFDEA8A"/>
    <w:rsid w:val="1087DA74"/>
    <w:rsid w:val="135835D7"/>
    <w:rsid w:val="13715E34"/>
    <w:rsid w:val="1371BF4C"/>
    <w:rsid w:val="142AFE42"/>
    <w:rsid w:val="150D2E95"/>
    <w:rsid w:val="16B820B3"/>
    <w:rsid w:val="16C263C1"/>
    <w:rsid w:val="1853F114"/>
    <w:rsid w:val="1B227FAD"/>
    <w:rsid w:val="1C5903B5"/>
    <w:rsid w:val="1DAF1311"/>
    <w:rsid w:val="20CD8B76"/>
    <w:rsid w:val="219F4EDA"/>
    <w:rsid w:val="22A7BEA7"/>
    <w:rsid w:val="25CDA232"/>
    <w:rsid w:val="28B56760"/>
    <w:rsid w:val="2A21D35E"/>
    <w:rsid w:val="2A2C74DB"/>
    <w:rsid w:val="2E5F0962"/>
    <w:rsid w:val="2EB3E2F3"/>
    <w:rsid w:val="2EB73DFE"/>
    <w:rsid w:val="2EB8F9CE"/>
    <w:rsid w:val="2FA4CF3B"/>
    <w:rsid w:val="308E1C14"/>
    <w:rsid w:val="3196AA24"/>
    <w:rsid w:val="32876D27"/>
    <w:rsid w:val="345F1801"/>
    <w:rsid w:val="360A7BA3"/>
    <w:rsid w:val="36310A6C"/>
    <w:rsid w:val="36F91DA6"/>
    <w:rsid w:val="37724AD7"/>
    <w:rsid w:val="37A36F57"/>
    <w:rsid w:val="385E2044"/>
    <w:rsid w:val="38BB10A0"/>
    <w:rsid w:val="39F9F0A5"/>
    <w:rsid w:val="3A1575E7"/>
    <w:rsid w:val="3B24640D"/>
    <w:rsid w:val="3B9C5F26"/>
    <w:rsid w:val="3EA75E50"/>
    <w:rsid w:val="400DD626"/>
    <w:rsid w:val="41F5D2F0"/>
    <w:rsid w:val="4248CA89"/>
    <w:rsid w:val="427A2CB4"/>
    <w:rsid w:val="45FFD155"/>
    <w:rsid w:val="463E4564"/>
    <w:rsid w:val="49CCE39D"/>
    <w:rsid w:val="49E2184B"/>
    <w:rsid w:val="4B33D191"/>
    <w:rsid w:val="4B7E4FD6"/>
    <w:rsid w:val="4C4B5F0D"/>
    <w:rsid w:val="4DC5B529"/>
    <w:rsid w:val="4DF3A1E0"/>
    <w:rsid w:val="5048AEAF"/>
    <w:rsid w:val="50782911"/>
    <w:rsid w:val="51ED915A"/>
    <w:rsid w:val="52B72E9B"/>
    <w:rsid w:val="52FCC572"/>
    <w:rsid w:val="5495FF26"/>
    <w:rsid w:val="550D4B8A"/>
    <w:rsid w:val="561972C3"/>
    <w:rsid w:val="5A28EFB3"/>
    <w:rsid w:val="5B853F04"/>
    <w:rsid w:val="5BF495C2"/>
    <w:rsid w:val="5C05734F"/>
    <w:rsid w:val="5D6D0DFF"/>
    <w:rsid w:val="5D906623"/>
    <w:rsid w:val="5FBDD7FA"/>
    <w:rsid w:val="5FC4C4EB"/>
    <w:rsid w:val="62FC65AD"/>
    <w:rsid w:val="63198101"/>
    <w:rsid w:val="63E83B1A"/>
    <w:rsid w:val="65C46CE1"/>
    <w:rsid w:val="6645AFA6"/>
    <w:rsid w:val="666059AE"/>
    <w:rsid w:val="66FB6DF0"/>
    <w:rsid w:val="67C6A5A3"/>
    <w:rsid w:val="6826386A"/>
    <w:rsid w:val="6861BBD1"/>
    <w:rsid w:val="686F4E7B"/>
    <w:rsid w:val="6871DAC9"/>
    <w:rsid w:val="687AE42E"/>
    <w:rsid w:val="68B6CC2B"/>
    <w:rsid w:val="69527ED4"/>
    <w:rsid w:val="699E9900"/>
    <w:rsid w:val="69FD8C32"/>
    <w:rsid w:val="6A16B48F"/>
    <w:rsid w:val="6B89D0DC"/>
    <w:rsid w:val="6C6C2470"/>
    <w:rsid w:val="6E587D1F"/>
    <w:rsid w:val="710A8621"/>
    <w:rsid w:val="73C50BE9"/>
    <w:rsid w:val="75BAD8F1"/>
    <w:rsid w:val="774E9960"/>
    <w:rsid w:val="777495B7"/>
    <w:rsid w:val="782EB7B8"/>
    <w:rsid w:val="7BB76DE3"/>
    <w:rsid w:val="7D20D756"/>
    <w:rsid w:val="7F2FD6B4"/>
    <w:rsid w:val="7F41F4C1"/>
    <w:rsid w:val="7F9A4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72E9B"/>
  <w15:chartTrackingRefBased/>
  <w15:docId w15:val="{14263343-D60C-48CE-BF17-BC7240F6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 TargetMode="External"/><Relationship Id="rId5" Type="http://schemas.openxmlformats.org/officeDocument/2006/relationships/hyperlink" Target="https://doi.org/10.1002/2017JC012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752</Words>
  <Characters>4290</Characters>
  <Application>Microsoft Office Word</Application>
  <DocSecurity>0</DocSecurity>
  <Lines>35</Lines>
  <Paragraphs>10</Paragraphs>
  <ScaleCrop>false</ScaleCrop>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Chase</dc:creator>
  <cp:keywords/>
  <dc:description/>
  <cp:lastModifiedBy>Alison Chase</cp:lastModifiedBy>
  <cp:revision>3</cp:revision>
  <dcterms:created xsi:type="dcterms:W3CDTF">2023-05-16T23:21:00Z</dcterms:created>
  <dcterms:modified xsi:type="dcterms:W3CDTF">2023-05-17T22:21:00Z</dcterms:modified>
</cp:coreProperties>
</file>