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4D7529" w14:textId="10029A16" w:rsidR="00E8397F" w:rsidRDefault="00E447E9" w:rsidP="00E8397F">
      <w:pPr>
        <w:rPr>
          <w:u w:val="single"/>
        </w:rPr>
      </w:pPr>
      <w:r>
        <w:rPr>
          <w:u w:val="single"/>
        </w:rPr>
        <w:t>PACE Terrestrial Products</w:t>
      </w:r>
    </w:p>
    <w:p w14:paraId="3348FCFC" w14:textId="426043F6" w:rsidR="00E447E9" w:rsidRPr="00E447E9" w:rsidRDefault="00E447E9" w:rsidP="00E8397F">
      <w:r>
        <w:t>Fred Huemmrich and Petya Campbell</w:t>
      </w:r>
    </w:p>
    <w:p w14:paraId="5EAAE6DC" w14:textId="77777777" w:rsidR="00E8397F" w:rsidRDefault="00E8397F" w:rsidP="00E8397F">
      <w:pPr>
        <w:rPr>
          <w:u w:val="single"/>
        </w:rPr>
      </w:pPr>
    </w:p>
    <w:p w14:paraId="6D5C8115" w14:textId="3E9469C8" w:rsidR="00E8397F" w:rsidRPr="00E8397F" w:rsidRDefault="00E8397F" w:rsidP="00E8397F">
      <w:pPr>
        <w:rPr>
          <w:u w:val="single"/>
        </w:rPr>
      </w:pPr>
      <w:r w:rsidRPr="00E8397F">
        <w:rPr>
          <w:u w:val="single"/>
        </w:rPr>
        <w:t>Goals</w:t>
      </w:r>
    </w:p>
    <w:p w14:paraId="5D42F76F" w14:textId="48D329D0" w:rsidR="00B744E2" w:rsidRPr="00E8397F" w:rsidRDefault="00E450BF" w:rsidP="00E8397F">
      <w:r>
        <w:t>U</w:t>
      </w:r>
      <w:r w:rsidR="00E8397F" w:rsidRPr="00E8397F">
        <w:t>se PACE OCI to describe terrestrial ecosystem biochemical and functional traits and their dynamics, focusing on foliar pigments and productivity</w:t>
      </w:r>
      <w:r w:rsidR="00B54137">
        <w:t xml:space="preserve">. </w:t>
      </w:r>
      <w:r w:rsidR="00B744E2">
        <w:t>We are proposing to produce a set of spectral vegetation indices (SVI)</w:t>
      </w:r>
      <w:r>
        <w:t xml:space="preserve"> from PACE OCI that have been shown to be related to vegetation canopy structure (leaf area index, canopy coverage, fraction of absorbed photosynthetically active radiation), foliar pigments (chlorophyll, carotenoids, anthocyanins), and plant stress responses (xanthophylls)</w:t>
      </w:r>
      <w:r w:rsidR="00B744E2">
        <w:t xml:space="preserve">. </w:t>
      </w:r>
    </w:p>
    <w:p w14:paraId="5051C3A6" w14:textId="77777777" w:rsidR="00E8397F" w:rsidRDefault="00E8397F" w:rsidP="00E8397F">
      <w:pPr>
        <w:rPr>
          <w:u w:val="single"/>
        </w:rPr>
      </w:pPr>
    </w:p>
    <w:p w14:paraId="21AAFC7D" w14:textId="08AFE8F2" w:rsidR="00E8397F" w:rsidRDefault="00E8397F" w:rsidP="00E8397F">
      <w:r w:rsidRPr="00E8397F">
        <w:t xml:space="preserve">A challenge for the development of terrestrial products and applications is that PACE OCI will produce a novel dataset of frequent, global, hyperspectral observations and there are few existing data collections that replicate these characteristics to use for algorithm development and </w:t>
      </w:r>
      <w:r w:rsidR="00B744E2">
        <w:t>evaluation.</w:t>
      </w:r>
    </w:p>
    <w:p w14:paraId="44FFCDA6" w14:textId="77777777" w:rsidR="00E8397F" w:rsidRDefault="00E8397F" w:rsidP="00E8397F">
      <w:pPr>
        <w:rPr>
          <w:u w:val="single"/>
        </w:rPr>
      </w:pPr>
    </w:p>
    <w:p w14:paraId="33E1DDF6" w14:textId="4E3A225B" w:rsidR="00E8397F" w:rsidRPr="00E8397F" w:rsidRDefault="00B54137" w:rsidP="00E8397F">
      <w:r>
        <w:rPr>
          <w:u w:val="single"/>
        </w:rPr>
        <w:t>Data</w:t>
      </w:r>
      <w:r w:rsidR="006E5A21">
        <w:rPr>
          <w:u w:val="single"/>
        </w:rPr>
        <w:t xml:space="preserve"> Processing</w:t>
      </w:r>
    </w:p>
    <w:p w14:paraId="7B0CF470" w14:textId="4B4FDEAA" w:rsidR="00E8397F" w:rsidRPr="00E8397F" w:rsidRDefault="006E5A21" w:rsidP="00E8397F">
      <w:r>
        <w:t>We start with a</w:t>
      </w:r>
      <w:r w:rsidR="00E8397F" w:rsidRPr="00E8397F">
        <w:t>n OCI surface reflectance product (</w:t>
      </w:r>
      <w:r w:rsidR="00B54137">
        <w:t xml:space="preserve">there are </w:t>
      </w:r>
      <w:r w:rsidR="00E8397F" w:rsidRPr="00E8397F">
        <w:t>multiple existing options for this product)</w:t>
      </w:r>
      <w:r w:rsidR="00B54137">
        <w:t>.</w:t>
      </w:r>
    </w:p>
    <w:p w14:paraId="3B0A773B" w14:textId="5C1FB0AF" w:rsidR="00E8397F" w:rsidRDefault="00E8397F" w:rsidP="00E8397F">
      <w:r w:rsidRPr="00E8397F">
        <w:t xml:space="preserve">Due to OCI tilt and wide swath we need to further calculate a Nadir Bidirectional Adjusted Reflectance (N-BAR) </w:t>
      </w:r>
      <w:r w:rsidR="00B54137">
        <w:t>to</w:t>
      </w:r>
      <w:r w:rsidR="003216BC">
        <w:t xml:space="preserve"> have spatially and temporally consistent observations (</w:t>
      </w:r>
      <w:r w:rsidRPr="00E8397F">
        <w:t>again there are existing approaches</w:t>
      </w:r>
      <w:r w:rsidR="003216BC">
        <w:t>)</w:t>
      </w:r>
      <w:r w:rsidR="00B54137">
        <w:t>.</w:t>
      </w:r>
    </w:p>
    <w:p w14:paraId="6C2B8CF7" w14:textId="61FDF0E1" w:rsidR="00E8397F" w:rsidRDefault="00B54137" w:rsidP="00E8397F">
      <w:r>
        <w:t xml:space="preserve">Finally, the surface </w:t>
      </w:r>
      <w:proofErr w:type="spellStart"/>
      <w:r>
        <w:t>reflectances</w:t>
      </w:r>
      <w:proofErr w:type="spellEnd"/>
      <w:r>
        <w:t xml:space="preserve"> </w:t>
      </w:r>
      <w:r w:rsidR="003216BC">
        <w:t xml:space="preserve">must be cloud screened, </w:t>
      </w:r>
      <w:r>
        <w:t xml:space="preserve">where there is </w:t>
      </w:r>
      <w:r w:rsidR="003216BC">
        <w:t xml:space="preserve">a particular issue </w:t>
      </w:r>
      <w:r>
        <w:t>in</w:t>
      </w:r>
      <w:r w:rsidR="003216BC">
        <w:t xml:space="preserve"> detecting sub-pixel clouds and cloud shadows</w:t>
      </w:r>
      <w:r w:rsidR="00EF36BD">
        <w:t xml:space="preserve"> (</w:t>
      </w:r>
      <w:proofErr w:type="gramStart"/>
      <w:r w:rsidR="00EF36BD">
        <w:t>e.g.</w:t>
      </w:r>
      <w:proofErr w:type="gramEnd"/>
      <w:r w:rsidR="00EF36BD">
        <w:t xml:space="preserve"> Chandra et al., 2016)</w:t>
      </w:r>
      <w:r w:rsidR="002F6C93">
        <w:t>.</w:t>
      </w:r>
    </w:p>
    <w:p w14:paraId="6C5CA9E1" w14:textId="5D277F3A" w:rsidR="00B54137" w:rsidRDefault="00B54137" w:rsidP="00E8397F">
      <w:r>
        <w:t>SVI will be calculated directly from the surface reflectance N-BAR product.</w:t>
      </w:r>
    </w:p>
    <w:p w14:paraId="7D92F37E" w14:textId="77777777" w:rsidR="00B54137" w:rsidRDefault="00B54137" w:rsidP="00E8397F"/>
    <w:p w14:paraId="11822CC3" w14:textId="3CC992C1" w:rsidR="00B54137" w:rsidRPr="00B54137" w:rsidRDefault="00B54137" w:rsidP="00E8397F">
      <w:pPr>
        <w:rPr>
          <w:u w:val="single"/>
        </w:rPr>
      </w:pPr>
      <w:r w:rsidRPr="00B54137">
        <w:rPr>
          <w:u w:val="single"/>
        </w:rPr>
        <w:t>Accuracy Assessment</w:t>
      </w:r>
    </w:p>
    <w:p w14:paraId="2797FF12" w14:textId="384C4D9E" w:rsidR="00B54137" w:rsidRDefault="00ED113D" w:rsidP="00E8397F">
      <w:r>
        <w:t>As an example, o</w:t>
      </w:r>
      <w:r w:rsidR="00B54137">
        <w:t xml:space="preserve">ne of the important SVI is the Photochemical Reflectance Index (PRI). </w:t>
      </w:r>
      <w:r w:rsidR="00B54137" w:rsidRPr="00B54137">
        <w:t>PRI is a normalized difference ratio of the reflectance from two narrow visible wavelengths typically using bands at 531 nm, the band sensitive to the epoxidation state of the xanthophyll cycle pigments, and a second nearby, non-responsive band used as a reference, commonly at 570 nm.</w:t>
      </w:r>
      <w:r w:rsidR="00732B5F">
        <w:t xml:space="preserve"> </w:t>
      </w:r>
      <w:r>
        <w:t>Changes in x</w:t>
      </w:r>
      <w:r w:rsidR="00732B5F">
        <w:t>anthophyll pigment</w:t>
      </w:r>
      <w:r>
        <w:t xml:space="preserve">s </w:t>
      </w:r>
      <w:r w:rsidR="00732B5F" w:rsidRPr="00732B5F">
        <w:t xml:space="preserve">are related </w:t>
      </w:r>
      <w:r>
        <w:t xml:space="preserve">non-photosynthetic quenching (NPQ) and </w:t>
      </w:r>
      <w:r w:rsidR="00732B5F" w:rsidRPr="00732B5F">
        <w:t xml:space="preserve">to photosynthetic light use efficiency (LUE) (Grace et al. 2007, </w:t>
      </w:r>
      <w:r w:rsidR="00732B5F">
        <w:t xml:space="preserve">Middleton et al. </w:t>
      </w:r>
      <w:r>
        <w:t>2011</w:t>
      </w:r>
      <w:r w:rsidR="00732B5F" w:rsidRPr="00732B5F">
        <w:t>).</w:t>
      </w:r>
      <w:r w:rsidR="00E259EC">
        <w:t xml:space="preserve"> Our ground measurements of diurnal/seasonal PRI for crops suggests the need for PRI accuracy of </w:t>
      </w:r>
      <w:r w:rsidR="0003316B">
        <w:t>&lt;0.01</w:t>
      </w:r>
      <w:r w:rsidR="007D1E08">
        <w:t xml:space="preserve">, or about a </w:t>
      </w:r>
      <w:r w:rsidR="006E5A21">
        <w:t>1-3%</w:t>
      </w:r>
      <w:r w:rsidR="007D1E08">
        <w:t xml:space="preserve"> reflectance uncertainty in the visible wavelengths.</w:t>
      </w:r>
    </w:p>
    <w:p w14:paraId="4A54CE3E" w14:textId="77777777" w:rsidR="00B54137" w:rsidRDefault="00B54137" w:rsidP="00E8397F">
      <w:pPr>
        <w:rPr>
          <w:u w:val="single"/>
        </w:rPr>
      </w:pPr>
    </w:p>
    <w:p w14:paraId="1B8CE6BB" w14:textId="24946676" w:rsidR="00E8397F" w:rsidRPr="00E8397F" w:rsidRDefault="00E8397F" w:rsidP="00E8397F">
      <w:r w:rsidRPr="00E8397F">
        <w:rPr>
          <w:u w:val="single"/>
        </w:rPr>
        <w:t>Validation</w:t>
      </w:r>
    </w:p>
    <w:p w14:paraId="077C54AD" w14:textId="693C559C" w:rsidR="00E8397F" w:rsidRPr="00E8397F" w:rsidRDefault="0003316B" w:rsidP="00E8397F">
      <w:r>
        <w:t>We will</w:t>
      </w:r>
      <w:r w:rsidR="00E8397F" w:rsidRPr="00E8397F">
        <w:t xml:space="preserve"> use existing </w:t>
      </w:r>
      <w:r w:rsidR="00E447E9">
        <w:t xml:space="preserve">measurement activities for validation and q/a of reflectance and SVI products following </w:t>
      </w:r>
      <w:r w:rsidR="00E8397F" w:rsidRPr="00E8397F">
        <w:t>CEOS Cal/Val</w:t>
      </w:r>
      <w:r w:rsidR="00E447E9">
        <w:t xml:space="preserve"> activities</w:t>
      </w:r>
      <w:r w:rsidR="00E8397F" w:rsidRPr="00E8397F">
        <w:t xml:space="preserve"> (</w:t>
      </w:r>
      <w:hyperlink r:id="rId5" w:history="1">
        <w:r w:rsidR="00E8397F" w:rsidRPr="00E8397F">
          <w:rPr>
            <w:rStyle w:val="Hyperlink"/>
          </w:rPr>
          <w:t>https://calvalportal.ceos.org/calvalsites</w:t>
        </w:r>
      </w:hyperlink>
      <w:r w:rsidR="00E8397F" w:rsidRPr="00E8397F">
        <w:t>)</w:t>
      </w:r>
    </w:p>
    <w:p w14:paraId="783AEAD2" w14:textId="0A26379C" w:rsidR="0003316B" w:rsidRDefault="0003316B" w:rsidP="0003316B">
      <w:pPr>
        <w:pStyle w:val="ListParagraph"/>
        <w:numPr>
          <w:ilvl w:val="0"/>
          <w:numId w:val="1"/>
        </w:numPr>
      </w:pPr>
      <w:r w:rsidRPr="0003316B">
        <w:t>PICS: Pseudo-Invariant Calibration Sites</w:t>
      </w:r>
      <w:r>
        <w:t>: Time series of observations of these sites for determination of reflectance product stability.</w:t>
      </w:r>
    </w:p>
    <w:p w14:paraId="16E763B2" w14:textId="77777777" w:rsidR="0003316B" w:rsidRPr="0003316B" w:rsidRDefault="0003316B" w:rsidP="0003316B"/>
    <w:p w14:paraId="1E5BEF25" w14:textId="5637A837" w:rsidR="0003316B" w:rsidRDefault="00E8397F" w:rsidP="0003316B">
      <w:pPr>
        <w:pStyle w:val="ListParagraph"/>
        <w:numPr>
          <w:ilvl w:val="0"/>
          <w:numId w:val="1"/>
        </w:numPr>
      </w:pPr>
      <w:proofErr w:type="spellStart"/>
      <w:r w:rsidRPr="00E8397F">
        <w:t>Radcalnet</w:t>
      </w:r>
      <w:proofErr w:type="spellEnd"/>
      <w:r w:rsidRPr="00E8397F">
        <w:t xml:space="preserve"> </w:t>
      </w:r>
      <w:r w:rsidR="0003316B">
        <w:t xml:space="preserve">provides </w:t>
      </w:r>
      <w:r w:rsidR="0003316B" w:rsidRPr="0003316B">
        <w:t xml:space="preserve">SI-traceable Top-of-Atmosphere (TOA) </w:t>
      </w:r>
      <w:proofErr w:type="gramStart"/>
      <w:r w:rsidR="0003316B" w:rsidRPr="0003316B">
        <w:t>spectrally-resolved</w:t>
      </w:r>
      <w:proofErr w:type="gramEnd"/>
      <w:r w:rsidR="0003316B" w:rsidRPr="0003316B">
        <w:t xml:space="preserve"> </w:t>
      </w:r>
      <w:proofErr w:type="spellStart"/>
      <w:r w:rsidR="0003316B" w:rsidRPr="0003316B">
        <w:t>reflectances</w:t>
      </w:r>
      <w:proofErr w:type="spellEnd"/>
      <w:r w:rsidR="0003316B" w:rsidRPr="0003316B">
        <w:t xml:space="preserve"> </w:t>
      </w:r>
      <w:r w:rsidR="0003316B">
        <w:t>with</w:t>
      </w:r>
      <w:r w:rsidR="0003316B" w:rsidRPr="0003316B">
        <w:t xml:space="preserve"> 10 nm spectral sampling from 380 nm to 2500 nm</w:t>
      </w:r>
      <w:r w:rsidR="0003316B">
        <w:t xml:space="preserve"> for</w:t>
      </w:r>
      <w:r w:rsidR="0003316B" w:rsidRPr="0003316B">
        <w:t xml:space="preserve"> </w:t>
      </w:r>
      <w:r w:rsidR="0003316B">
        <w:t>several pseudo-</w:t>
      </w:r>
      <w:r w:rsidR="0003316B">
        <w:lastRenderedPageBreak/>
        <w:t xml:space="preserve">invariant </w:t>
      </w:r>
      <w:r w:rsidR="0003316B" w:rsidRPr="0003316B">
        <w:t xml:space="preserve">sites </w:t>
      </w:r>
      <w:r w:rsidR="0003316B">
        <w:t xml:space="preserve">with </w:t>
      </w:r>
      <w:r w:rsidR="0003316B" w:rsidRPr="0003316B">
        <w:t>automated ground instrumentation</w:t>
      </w:r>
      <w:r w:rsidR="00B80739">
        <w:t xml:space="preserve"> </w:t>
      </w:r>
      <w:r w:rsidR="006A4F6E">
        <w:t xml:space="preserve">to compare with PACE </w:t>
      </w:r>
      <w:proofErr w:type="spellStart"/>
      <w:r w:rsidR="006A4F6E">
        <w:t>reflectances</w:t>
      </w:r>
      <w:proofErr w:type="spellEnd"/>
      <w:r w:rsidR="006A4F6E">
        <w:t xml:space="preserve"> </w:t>
      </w:r>
      <w:r w:rsidR="00B80739">
        <w:t>(see Miura et al. 2021 for an example of using these data to validate SVI)</w:t>
      </w:r>
    </w:p>
    <w:p w14:paraId="47F22A32" w14:textId="77777777" w:rsidR="0003316B" w:rsidRDefault="0003316B" w:rsidP="0003316B">
      <w:pPr>
        <w:pStyle w:val="ListParagraph"/>
      </w:pPr>
    </w:p>
    <w:p w14:paraId="57287DFB" w14:textId="6C535F69" w:rsidR="0003316B" w:rsidRDefault="006A4F6E" w:rsidP="00E76C8F">
      <w:pPr>
        <w:pStyle w:val="ListParagraph"/>
        <w:numPr>
          <w:ilvl w:val="0"/>
          <w:numId w:val="1"/>
        </w:numPr>
      </w:pPr>
      <w:r>
        <w:t xml:space="preserve">The </w:t>
      </w:r>
      <w:r w:rsidR="0003316B" w:rsidRPr="00E8397F">
        <w:t xml:space="preserve">National Ecological Observatory Network (NEON) </w:t>
      </w:r>
      <w:r>
        <w:t xml:space="preserve">operates 45 flux tower sites </w:t>
      </w:r>
      <w:r w:rsidR="00E447E9">
        <w:t>covering</w:t>
      </w:r>
      <w:r>
        <w:t xml:space="preserve"> </w:t>
      </w:r>
      <w:r w:rsidR="001375FB">
        <w:t>the different bioregions within the United States. The NEON Airborne Observing Platform</w:t>
      </w:r>
      <w:r w:rsidR="00E447E9">
        <w:t>,</w:t>
      </w:r>
      <w:r w:rsidR="001375FB">
        <w:t xml:space="preserve"> which carries an AVIRIS NG imaging spectrometer</w:t>
      </w:r>
      <w:r w:rsidR="00E447E9">
        <w:t>,</w:t>
      </w:r>
      <w:r w:rsidR="001375FB">
        <w:t xml:space="preserve"> flies approximately 20 of these sites every summer near </w:t>
      </w:r>
      <w:r w:rsidR="00E447E9">
        <w:t xml:space="preserve">seasonal </w:t>
      </w:r>
      <w:r w:rsidR="001375FB">
        <w:t>peak greenness for the site. In addition,</w:t>
      </w:r>
      <w:r w:rsidR="0003316B" w:rsidRPr="00E8397F">
        <w:t xml:space="preserve"> </w:t>
      </w:r>
      <w:r w:rsidR="00E76C8F">
        <w:t xml:space="preserve">AERONET </w:t>
      </w:r>
      <w:r w:rsidR="00E76C8F" w:rsidRPr="00E76C8F">
        <w:t>(aerosol and water vapor parameters)</w:t>
      </w:r>
      <w:r w:rsidR="001375FB">
        <w:t xml:space="preserve"> and</w:t>
      </w:r>
      <w:r w:rsidR="00E76C8F">
        <w:t xml:space="preserve"> </w:t>
      </w:r>
      <w:r w:rsidR="0003316B" w:rsidRPr="00E8397F">
        <w:t>ground measured foliar chemistry</w:t>
      </w:r>
      <w:r w:rsidR="001375FB">
        <w:t xml:space="preserve"> measurements are also collected at these sites</w:t>
      </w:r>
      <w:r>
        <w:t xml:space="preserve">. AVIRIS </w:t>
      </w:r>
      <w:proofErr w:type="spellStart"/>
      <w:r>
        <w:t>reflectances</w:t>
      </w:r>
      <w:proofErr w:type="spellEnd"/>
      <w:r>
        <w:t xml:space="preserve"> can be averaged to PACE pixel size for comparison with PACE products</w:t>
      </w:r>
      <w:r w:rsidR="001375FB">
        <w:t xml:space="preserve"> to examine product variability across vegetated sites</w:t>
      </w:r>
      <w:r>
        <w:t xml:space="preserve">. </w:t>
      </w:r>
      <w:r w:rsidR="00E76C8F">
        <w:t>(</w:t>
      </w:r>
      <w:proofErr w:type="gramStart"/>
      <w:r w:rsidR="00E76C8F">
        <w:t>see</w:t>
      </w:r>
      <w:proofErr w:type="gramEnd"/>
      <w:r w:rsidR="00E76C8F">
        <w:t xml:space="preserve"> </w:t>
      </w:r>
      <w:proofErr w:type="spellStart"/>
      <w:r w:rsidR="00E76C8F">
        <w:t>Shabanov</w:t>
      </w:r>
      <w:proofErr w:type="spellEnd"/>
      <w:r w:rsidR="00E76C8F">
        <w:t xml:space="preserve"> et al. 2015 for an example)</w:t>
      </w:r>
      <w:r w:rsidR="0003316B" w:rsidRPr="00E8397F">
        <w:t>.</w:t>
      </w:r>
    </w:p>
    <w:p w14:paraId="7D8DC987" w14:textId="77777777" w:rsidR="002F6C93" w:rsidRDefault="002F6C93"/>
    <w:p w14:paraId="2627D749" w14:textId="02FF5AE1" w:rsidR="00116C77" w:rsidRPr="00116C77" w:rsidRDefault="00116C77">
      <w:pPr>
        <w:rPr>
          <w:u w:val="single"/>
        </w:rPr>
      </w:pPr>
      <w:r w:rsidRPr="00116C77">
        <w:rPr>
          <w:u w:val="single"/>
        </w:rPr>
        <w:t>References</w:t>
      </w:r>
    </w:p>
    <w:p w14:paraId="617541CB" w14:textId="05542D60" w:rsidR="00EF36BD" w:rsidRDefault="00EF36BD">
      <w:r w:rsidRPr="00EF36BD">
        <w:t xml:space="preserve">Candra, D. S., </w:t>
      </w:r>
      <w:proofErr w:type="spellStart"/>
      <w:r w:rsidRPr="00EF36BD">
        <w:t>Phinn</w:t>
      </w:r>
      <w:proofErr w:type="spellEnd"/>
      <w:r w:rsidRPr="00EF36BD">
        <w:t xml:space="preserve">, S., and </w:t>
      </w:r>
      <w:proofErr w:type="spellStart"/>
      <w:r w:rsidRPr="00EF36BD">
        <w:t>Scarth</w:t>
      </w:r>
      <w:proofErr w:type="spellEnd"/>
      <w:r w:rsidRPr="00EF36BD">
        <w:t xml:space="preserve">, P.: CLOUD AND CLOUD SHADOW MASKING USING MULTI-TEMPORAL CLOUD MASKING ALGORITHM IN TROPICAL ENVIRONMENTAL, Int. Arch. </w:t>
      </w:r>
      <w:proofErr w:type="spellStart"/>
      <w:r w:rsidRPr="00EF36BD">
        <w:t>Photogramm</w:t>
      </w:r>
      <w:proofErr w:type="spellEnd"/>
      <w:r w:rsidRPr="00EF36BD">
        <w:t>. Remote Sens. Spatial Inf. Sci., XLI-B2, 95–100, https://doi.org/10.5194/isprs-archives-XLI-B2-95-2016, 2016</w:t>
      </w:r>
    </w:p>
    <w:p w14:paraId="00172D44" w14:textId="77777777" w:rsidR="00EF36BD" w:rsidRDefault="00EF36BD"/>
    <w:p w14:paraId="2326F177" w14:textId="660ED103" w:rsidR="002A7A66" w:rsidRDefault="00732B5F">
      <w:r w:rsidRPr="00732B5F">
        <w:t xml:space="preserve">Grace, J., Nichol, C., Disney, M., Lewis, P., </w:t>
      </w:r>
      <w:proofErr w:type="spellStart"/>
      <w:r w:rsidRPr="00732B5F">
        <w:t>Quaife</w:t>
      </w:r>
      <w:proofErr w:type="spellEnd"/>
      <w:r w:rsidRPr="00732B5F">
        <w:t xml:space="preserve">, T., &amp; Bowyer, P. (2007). Can we measure terrestrial photosynthesis from space directly, using spectral reflectance and fluorescence? </w:t>
      </w:r>
      <w:r w:rsidRPr="00732B5F">
        <w:rPr>
          <w:i/>
          <w:iCs/>
        </w:rPr>
        <w:t>Global Change Biology</w:t>
      </w:r>
      <w:r w:rsidRPr="00732B5F">
        <w:t xml:space="preserve">, </w:t>
      </w:r>
      <w:r w:rsidRPr="00732B5F">
        <w:rPr>
          <w:i/>
          <w:iCs/>
        </w:rPr>
        <w:t>13</w:t>
      </w:r>
      <w:r w:rsidRPr="00732B5F">
        <w:t>(7), 1484-1497.</w:t>
      </w:r>
    </w:p>
    <w:p w14:paraId="22F546CA" w14:textId="77777777" w:rsidR="00732B5F" w:rsidRDefault="00732B5F" w:rsidP="00732B5F"/>
    <w:p w14:paraId="7B6834C3" w14:textId="01869456" w:rsidR="00732B5F" w:rsidRPr="00732B5F" w:rsidRDefault="00732B5F" w:rsidP="00732B5F">
      <w:r w:rsidRPr="00732B5F">
        <w:t xml:space="preserve">Middleton, E.M., Huemmrich, K.F., Cheng, Y-B., &amp; Margolis, H.A. (2011) Spectral bioindicators of photosynthetic efficiency and vegetation stress. In Hyperspectral Remote Sensing of Vegetation, P.S. </w:t>
      </w:r>
      <w:proofErr w:type="spellStart"/>
      <w:r w:rsidRPr="00732B5F">
        <w:t>Thenkabail</w:t>
      </w:r>
      <w:proofErr w:type="spellEnd"/>
      <w:r w:rsidRPr="00732B5F">
        <w:t xml:space="preserve">, J.G. Lyon and A. </w:t>
      </w:r>
      <w:proofErr w:type="spellStart"/>
      <w:r w:rsidRPr="00732B5F">
        <w:t>Huete</w:t>
      </w:r>
      <w:proofErr w:type="spellEnd"/>
      <w:r w:rsidRPr="00732B5F">
        <w:t>, Eds. CRC Press, ISBN-10: 1439845379.</w:t>
      </w:r>
    </w:p>
    <w:p w14:paraId="2360AC25" w14:textId="77777777" w:rsidR="00732B5F" w:rsidRDefault="00732B5F"/>
    <w:p w14:paraId="27C6FD38" w14:textId="7FF7FF32" w:rsidR="002A7A66" w:rsidRDefault="002A7A66">
      <w:r w:rsidRPr="002A7A66">
        <w:t>Miura, T., Smith, C. Z., &amp; Yoshioka, H. (2021). Validation and analysis of Terra and Aqua MODIS, and SNPP VIIRS vegetation indices under zero vegetation conditions: A case study using Railroad Valley Playa. </w:t>
      </w:r>
      <w:r w:rsidRPr="002A7A66">
        <w:rPr>
          <w:i/>
          <w:iCs/>
        </w:rPr>
        <w:t>Remote Sensing of Environment</w:t>
      </w:r>
      <w:r w:rsidRPr="002A7A66">
        <w:t>, </w:t>
      </w:r>
      <w:r w:rsidRPr="002A7A66">
        <w:rPr>
          <w:i/>
          <w:iCs/>
        </w:rPr>
        <w:t>257</w:t>
      </w:r>
      <w:r w:rsidRPr="002A7A66">
        <w:t>, 112344.</w:t>
      </w:r>
      <w:r>
        <w:t xml:space="preserve"> </w:t>
      </w:r>
      <w:r w:rsidRPr="002A7A66">
        <w:t>DOI:10.1016/j.rse.2021.112344</w:t>
      </w:r>
    </w:p>
    <w:p w14:paraId="4F96B52C" w14:textId="77777777" w:rsidR="002A7A66" w:rsidRDefault="002A7A66"/>
    <w:p w14:paraId="1FE93AF9" w14:textId="3B524D3D" w:rsidR="002A7A66" w:rsidRDefault="002A7A66">
      <w:proofErr w:type="spellStart"/>
      <w:r w:rsidRPr="002A7A66">
        <w:t>Shabanov</w:t>
      </w:r>
      <w:proofErr w:type="spellEnd"/>
      <w:r w:rsidRPr="002A7A66">
        <w:t>, N., Vargas, M., Miura, T., Sei, A., &amp; Danial, A. (2015). Evaluation of the performance of Suomi NPP VIIRS top of canopy vegetation indices over AERONET sites. </w:t>
      </w:r>
      <w:r w:rsidRPr="002A7A66">
        <w:rPr>
          <w:i/>
          <w:iCs/>
        </w:rPr>
        <w:t>Remote Sensing of Environment</w:t>
      </w:r>
      <w:r w:rsidRPr="002A7A66">
        <w:t>, </w:t>
      </w:r>
      <w:r w:rsidRPr="002A7A66">
        <w:rPr>
          <w:i/>
          <w:iCs/>
        </w:rPr>
        <w:t>162</w:t>
      </w:r>
      <w:r w:rsidRPr="002A7A66">
        <w:t>, 29-44.</w:t>
      </w:r>
      <w:r>
        <w:t xml:space="preserve"> </w:t>
      </w:r>
      <w:r w:rsidRPr="002A7A66">
        <w:t>https://doi.org/10.1016/j.rse.2015.02.004</w:t>
      </w:r>
    </w:p>
    <w:sectPr w:rsidR="002A7A66" w:rsidSect="004469A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72F0C59"/>
    <w:multiLevelType w:val="hybridMultilevel"/>
    <w:tmpl w:val="31DC20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397F"/>
    <w:rsid w:val="0003316B"/>
    <w:rsid w:val="000856FF"/>
    <w:rsid w:val="00116C77"/>
    <w:rsid w:val="001375FB"/>
    <w:rsid w:val="001977E7"/>
    <w:rsid w:val="002A7A66"/>
    <w:rsid w:val="002F6C93"/>
    <w:rsid w:val="003216BC"/>
    <w:rsid w:val="0035258B"/>
    <w:rsid w:val="004469A1"/>
    <w:rsid w:val="0048256C"/>
    <w:rsid w:val="005F2459"/>
    <w:rsid w:val="0069451B"/>
    <w:rsid w:val="006A4F6E"/>
    <w:rsid w:val="006E5A21"/>
    <w:rsid w:val="00732B5F"/>
    <w:rsid w:val="007D1E08"/>
    <w:rsid w:val="00930953"/>
    <w:rsid w:val="00B54137"/>
    <w:rsid w:val="00B744E2"/>
    <w:rsid w:val="00B80739"/>
    <w:rsid w:val="00DB2C2E"/>
    <w:rsid w:val="00E259EC"/>
    <w:rsid w:val="00E447E9"/>
    <w:rsid w:val="00E450BF"/>
    <w:rsid w:val="00E76C8F"/>
    <w:rsid w:val="00E8397F"/>
    <w:rsid w:val="00ED113D"/>
    <w:rsid w:val="00EF36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732296"/>
  <w15:chartTrackingRefBased/>
  <w15:docId w15:val="{82AB48C1-EA3F-D444-AAE3-E38EF8FF3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316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8397F"/>
    <w:rPr>
      <w:color w:val="0563C1" w:themeColor="hyperlink"/>
      <w:u w:val="single"/>
    </w:rPr>
  </w:style>
  <w:style w:type="character" w:styleId="UnresolvedMention">
    <w:name w:val="Unresolved Mention"/>
    <w:basedOn w:val="DefaultParagraphFont"/>
    <w:uiPriority w:val="99"/>
    <w:semiHidden/>
    <w:unhideWhenUsed/>
    <w:rsid w:val="00E8397F"/>
    <w:rPr>
      <w:color w:val="605E5C"/>
      <w:shd w:val="clear" w:color="auto" w:fill="E1DFDD"/>
    </w:rPr>
  </w:style>
  <w:style w:type="character" w:styleId="FollowedHyperlink">
    <w:name w:val="FollowedHyperlink"/>
    <w:basedOn w:val="DefaultParagraphFont"/>
    <w:uiPriority w:val="99"/>
    <w:semiHidden/>
    <w:unhideWhenUsed/>
    <w:rsid w:val="002F6C93"/>
    <w:rPr>
      <w:color w:val="954F72" w:themeColor="followedHyperlink"/>
      <w:u w:val="single"/>
    </w:rPr>
  </w:style>
  <w:style w:type="paragraph" w:styleId="ListParagraph">
    <w:name w:val="List Paragraph"/>
    <w:basedOn w:val="Normal"/>
    <w:uiPriority w:val="34"/>
    <w:qFormat/>
    <w:rsid w:val="0003316B"/>
    <w:pPr>
      <w:ind w:left="720"/>
      <w:contextualSpacing/>
    </w:pPr>
  </w:style>
  <w:style w:type="paragraph" w:styleId="NormalWeb">
    <w:name w:val="Normal (Web)"/>
    <w:basedOn w:val="Normal"/>
    <w:uiPriority w:val="99"/>
    <w:semiHidden/>
    <w:unhideWhenUsed/>
    <w:rsid w:val="00E76C8F"/>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9040488">
      <w:bodyDiv w:val="1"/>
      <w:marLeft w:val="0"/>
      <w:marRight w:val="0"/>
      <w:marTop w:val="0"/>
      <w:marBottom w:val="0"/>
      <w:divBdr>
        <w:top w:val="none" w:sz="0" w:space="0" w:color="auto"/>
        <w:left w:val="none" w:sz="0" w:space="0" w:color="auto"/>
        <w:bottom w:val="none" w:sz="0" w:space="0" w:color="auto"/>
        <w:right w:val="none" w:sz="0" w:space="0" w:color="auto"/>
      </w:divBdr>
    </w:div>
    <w:div w:id="802574926">
      <w:bodyDiv w:val="1"/>
      <w:marLeft w:val="0"/>
      <w:marRight w:val="0"/>
      <w:marTop w:val="0"/>
      <w:marBottom w:val="0"/>
      <w:divBdr>
        <w:top w:val="none" w:sz="0" w:space="0" w:color="auto"/>
        <w:left w:val="none" w:sz="0" w:space="0" w:color="auto"/>
        <w:bottom w:val="none" w:sz="0" w:space="0" w:color="auto"/>
        <w:right w:val="none" w:sz="0" w:space="0" w:color="auto"/>
      </w:divBdr>
    </w:div>
    <w:div w:id="1244879053">
      <w:bodyDiv w:val="1"/>
      <w:marLeft w:val="0"/>
      <w:marRight w:val="0"/>
      <w:marTop w:val="0"/>
      <w:marBottom w:val="0"/>
      <w:divBdr>
        <w:top w:val="none" w:sz="0" w:space="0" w:color="auto"/>
        <w:left w:val="none" w:sz="0" w:space="0" w:color="auto"/>
        <w:bottom w:val="none" w:sz="0" w:space="0" w:color="auto"/>
        <w:right w:val="none" w:sz="0" w:space="0" w:color="auto"/>
      </w:divBdr>
    </w:div>
    <w:div w:id="1449003874">
      <w:bodyDiv w:val="1"/>
      <w:marLeft w:val="0"/>
      <w:marRight w:val="0"/>
      <w:marTop w:val="0"/>
      <w:marBottom w:val="0"/>
      <w:divBdr>
        <w:top w:val="none" w:sz="0" w:space="0" w:color="auto"/>
        <w:left w:val="none" w:sz="0" w:space="0" w:color="auto"/>
        <w:bottom w:val="none" w:sz="0" w:space="0" w:color="auto"/>
        <w:right w:val="none" w:sz="0" w:space="0" w:color="auto"/>
      </w:divBdr>
    </w:div>
    <w:div w:id="1497840910">
      <w:bodyDiv w:val="1"/>
      <w:marLeft w:val="0"/>
      <w:marRight w:val="0"/>
      <w:marTop w:val="0"/>
      <w:marBottom w:val="0"/>
      <w:divBdr>
        <w:top w:val="none" w:sz="0" w:space="0" w:color="auto"/>
        <w:left w:val="none" w:sz="0" w:space="0" w:color="auto"/>
        <w:bottom w:val="none" w:sz="0" w:space="0" w:color="auto"/>
        <w:right w:val="none" w:sz="0" w:space="0" w:color="auto"/>
      </w:divBdr>
    </w:div>
    <w:div w:id="1774398052">
      <w:bodyDiv w:val="1"/>
      <w:marLeft w:val="0"/>
      <w:marRight w:val="0"/>
      <w:marTop w:val="0"/>
      <w:marBottom w:val="0"/>
      <w:divBdr>
        <w:top w:val="none" w:sz="0" w:space="0" w:color="auto"/>
        <w:left w:val="none" w:sz="0" w:space="0" w:color="auto"/>
        <w:bottom w:val="none" w:sz="0" w:space="0" w:color="auto"/>
        <w:right w:val="none" w:sz="0" w:space="0" w:color="auto"/>
      </w:divBdr>
      <w:divsChild>
        <w:div w:id="1618834459">
          <w:marLeft w:val="0"/>
          <w:marRight w:val="0"/>
          <w:marTop w:val="0"/>
          <w:marBottom w:val="0"/>
          <w:divBdr>
            <w:top w:val="none" w:sz="0" w:space="0" w:color="auto"/>
            <w:left w:val="none" w:sz="0" w:space="0" w:color="auto"/>
            <w:bottom w:val="none" w:sz="0" w:space="0" w:color="auto"/>
            <w:right w:val="none" w:sz="0" w:space="0" w:color="auto"/>
          </w:divBdr>
          <w:divsChild>
            <w:div w:id="643244210">
              <w:marLeft w:val="0"/>
              <w:marRight w:val="0"/>
              <w:marTop w:val="0"/>
              <w:marBottom w:val="0"/>
              <w:divBdr>
                <w:top w:val="none" w:sz="0" w:space="0" w:color="auto"/>
                <w:left w:val="none" w:sz="0" w:space="0" w:color="auto"/>
                <w:bottom w:val="none" w:sz="0" w:space="0" w:color="auto"/>
                <w:right w:val="none" w:sz="0" w:space="0" w:color="auto"/>
              </w:divBdr>
              <w:divsChild>
                <w:div w:id="67196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1287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calvalportal.ceos.org/calvalsite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724</Words>
  <Characters>4131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Fred Huemmrich</dc:creator>
  <cp:keywords/>
  <dc:description/>
  <cp:lastModifiedBy>Sayer, Andrew (GSFC-616.0)[UNIVERSITY OF MARYLAND BALTIMORE CO]</cp:lastModifiedBy>
  <cp:revision>4</cp:revision>
  <dcterms:created xsi:type="dcterms:W3CDTF">2023-05-20T13:02:00Z</dcterms:created>
  <dcterms:modified xsi:type="dcterms:W3CDTF">2023-06-01T15:24:00Z</dcterms:modified>
</cp:coreProperties>
</file>